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87A" w:rsidRPr="001145C1" w:rsidRDefault="007F587A" w:rsidP="00B71B1A">
      <w:pPr>
        <w:spacing w:before="120" w:after="240" w:line="276" w:lineRule="auto"/>
        <w:ind w:right="-285"/>
        <w:jc w:val="center"/>
        <w:rPr>
          <w:b/>
          <w:sz w:val="32"/>
          <w:szCs w:val="32"/>
          <w:u w:val="single"/>
        </w:rPr>
      </w:pPr>
      <w:r>
        <w:rPr>
          <w:b/>
          <w:sz w:val="32"/>
          <w:szCs w:val="32"/>
          <w:u w:val="single"/>
        </w:rPr>
        <w:t>DOCUMENTO Nº 3</w:t>
      </w:r>
    </w:p>
    <w:p w:rsidR="007F587A" w:rsidRPr="00C8303A" w:rsidRDefault="007F587A" w:rsidP="00B71B1A">
      <w:pPr>
        <w:spacing w:before="120" w:after="240" w:line="276" w:lineRule="auto"/>
        <w:ind w:right="-285"/>
        <w:jc w:val="center"/>
        <w:rPr>
          <w:b/>
          <w:sz w:val="32"/>
          <w:szCs w:val="32"/>
        </w:rPr>
        <w:sectPr w:rsidR="007F587A" w:rsidRPr="00C8303A" w:rsidSect="00094D4E">
          <w:headerReference w:type="default" r:id="rId9"/>
          <w:footerReference w:type="default" r:id="rId10"/>
          <w:headerReference w:type="first" r:id="rId11"/>
          <w:footerReference w:type="first" r:id="rId12"/>
          <w:pgSz w:w="11906" w:h="16838" w:code="9"/>
          <w:pgMar w:top="1417" w:right="1701" w:bottom="1417" w:left="1701" w:header="709" w:footer="709" w:gutter="0"/>
          <w:cols w:space="720"/>
          <w:vAlign w:val="center"/>
          <w:titlePg/>
          <w:docGrid w:linePitch="299"/>
        </w:sectPr>
      </w:pPr>
      <w:r>
        <w:rPr>
          <w:b/>
          <w:sz w:val="32"/>
          <w:szCs w:val="32"/>
        </w:rPr>
        <w:t>PLIEGO DE PRESCRIPCIONES TÉCNICAS</w:t>
      </w:r>
    </w:p>
    <w:p w:rsidR="008A44F7" w:rsidRDefault="007D483D" w:rsidP="00B71B1A">
      <w:pPr>
        <w:spacing w:line="276" w:lineRule="auto"/>
        <w:ind w:right="-285"/>
        <w:rPr>
          <w:b/>
          <w:sz w:val="28"/>
          <w:szCs w:val="28"/>
          <w:u w:val="single"/>
        </w:rPr>
        <w:sectPr w:rsidR="008A44F7" w:rsidSect="00094D4E">
          <w:footerReference w:type="default" r:id="rId13"/>
          <w:pgSz w:w="11906" w:h="16838" w:code="9"/>
          <w:pgMar w:top="1417" w:right="1701" w:bottom="1417" w:left="1701" w:header="709" w:footer="499" w:gutter="0"/>
          <w:cols w:space="720"/>
          <w:vAlign w:val="center"/>
        </w:sectPr>
      </w:pPr>
      <w:r w:rsidRPr="007D483D">
        <w:rPr>
          <w:b/>
          <w:sz w:val="28"/>
          <w:szCs w:val="28"/>
          <w:u w:val="single"/>
        </w:rPr>
        <w:lastRenderedPageBreak/>
        <w:t>A) PLIEGO DE PRESCRIPCIONES TÉCNICAS GENERALES</w:t>
      </w:r>
    </w:p>
    <w:p w:rsidR="00C7085E" w:rsidRPr="00C7085E" w:rsidRDefault="00C7085E" w:rsidP="00B71B1A">
      <w:pPr>
        <w:spacing w:line="276" w:lineRule="auto"/>
        <w:ind w:right="-285"/>
        <w:jc w:val="center"/>
        <w:rPr>
          <w:rFonts w:ascii="Arial Negrita" w:hAnsi="Arial Negrita"/>
          <w:b/>
          <w:caps/>
          <w:noProof/>
          <w:sz w:val="24"/>
          <w:szCs w:val="22"/>
          <w:u w:val="single"/>
        </w:rPr>
      </w:pPr>
      <w:r w:rsidRPr="00C7085E">
        <w:rPr>
          <w:rFonts w:ascii="Arial Negrita" w:hAnsi="Arial Negrita"/>
          <w:b/>
          <w:caps/>
          <w:noProof/>
          <w:sz w:val="24"/>
          <w:szCs w:val="22"/>
          <w:u w:val="single"/>
        </w:rPr>
        <w:lastRenderedPageBreak/>
        <w:t>indice</w:t>
      </w:r>
    </w:p>
    <w:p w:rsidR="00360671" w:rsidRDefault="00927113">
      <w:pPr>
        <w:pStyle w:val="TDC1"/>
        <w:tabs>
          <w:tab w:val="left" w:pos="1760"/>
        </w:tabs>
        <w:rPr>
          <w:rFonts w:asciiTheme="minorHAnsi" w:eastAsiaTheme="minorEastAsia" w:hAnsiTheme="minorHAnsi" w:cstheme="minorBidi"/>
          <w:b w:val="0"/>
          <w:noProof/>
          <w:szCs w:val="22"/>
        </w:rPr>
      </w:pPr>
      <w:r>
        <w:fldChar w:fldCharType="begin"/>
      </w:r>
      <w:r w:rsidR="00C7085E">
        <w:instrText xml:space="preserve"> TOC \o "1-3" </w:instrText>
      </w:r>
      <w:r>
        <w:fldChar w:fldCharType="separate"/>
      </w:r>
      <w:r w:rsidR="00360671" w:rsidRPr="00DC18DE">
        <w:rPr>
          <w:noProof/>
          <w:u w:val="thick"/>
        </w:rPr>
        <w:t>CAPÍTULO 1.</w:t>
      </w:r>
      <w:r w:rsidR="00360671">
        <w:rPr>
          <w:rFonts w:asciiTheme="minorHAnsi" w:eastAsiaTheme="minorEastAsia" w:hAnsiTheme="minorHAnsi" w:cstheme="minorBidi"/>
          <w:b w:val="0"/>
          <w:noProof/>
          <w:szCs w:val="22"/>
        </w:rPr>
        <w:tab/>
      </w:r>
      <w:r w:rsidR="00360671">
        <w:rPr>
          <w:noProof/>
        </w:rPr>
        <w:t>PRESCRIPCIONES GENERALES</w:t>
      </w:r>
      <w:r w:rsidR="00360671">
        <w:rPr>
          <w:noProof/>
        </w:rPr>
        <w:tab/>
      </w:r>
      <w:r>
        <w:rPr>
          <w:noProof/>
        </w:rPr>
        <w:fldChar w:fldCharType="begin"/>
      </w:r>
      <w:r w:rsidR="00360671">
        <w:rPr>
          <w:noProof/>
        </w:rPr>
        <w:instrText xml:space="preserve"> PAGEREF _Toc448741358 \h </w:instrText>
      </w:r>
      <w:r>
        <w:rPr>
          <w:noProof/>
        </w:rPr>
      </w:r>
      <w:r>
        <w:rPr>
          <w:noProof/>
        </w:rPr>
        <w:fldChar w:fldCharType="separate"/>
      </w:r>
      <w:r w:rsidR="006B1686">
        <w:rPr>
          <w:noProof/>
        </w:rPr>
        <w:t>9</w:t>
      </w:r>
      <w:r>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1.1</w:t>
      </w:r>
      <w:r>
        <w:rPr>
          <w:rFonts w:asciiTheme="minorHAnsi" w:eastAsiaTheme="minorEastAsia" w:hAnsiTheme="minorHAnsi" w:cstheme="minorBidi"/>
          <w:noProof/>
          <w:szCs w:val="22"/>
        </w:rPr>
        <w:tab/>
      </w:r>
      <w:r w:rsidRPr="00DC18DE">
        <w:rPr>
          <w:noProof/>
        </w:rPr>
        <w:t>ÁMBITO DE APLICACIÓN</w:t>
      </w:r>
      <w:r>
        <w:rPr>
          <w:noProof/>
        </w:rPr>
        <w:tab/>
      </w:r>
      <w:r w:rsidR="00927113">
        <w:rPr>
          <w:noProof/>
        </w:rPr>
        <w:fldChar w:fldCharType="begin"/>
      </w:r>
      <w:r>
        <w:rPr>
          <w:noProof/>
        </w:rPr>
        <w:instrText xml:space="preserve"> PAGEREF _Toc448741359 \h </w:instrText>
      </w:r>
      <w:r w:rsidR="00927113">
        <w:rPr>
          <w:noProof/>
        </w:rPr>
      </w:r>
      <w:r w:rsidR="00927113">
        <w:rPr>
          <w:noProof/>
        </w:rPr>
        <w:fldChar w:fldCharType="separate"/>
      </w:r>
      <w:r w:rsidR="006B1686">
        <w:rPr>
          <w:noProof/>
        </w:rPr>
        <w:t>9</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1.2</w:t>
      </w:r>
      <w:r>
        <w:rPr>
          <w:rFonts w:asciiTheme="minorHAnsi" w:eastAsiaTheme="minorEastAsia" w:hAnsiTheme="minorHAnsi" w:cstheme="minorBidi"/>
          <w:noProof/>
          <w:szCs w:val="22"/>
        </w:rPr>
        <w:tab/>
      </w:r>
      <w:r w:rsidRPr="00DC18DE">
        <w:rPr>
          <w:noProof/>
        </w:rPr>
        <w:t>ASPECTOS GENERALES</w:t>
      </w:r>
      <w:r>
        <w:rPr>
          <w:noProof/>
        </w:rPr>
        <w:tab/>
      </w:r>
      <w:r w:rsidR="00927113">
        <w:rPr>
          <w:noProof/>
        </w:rPr>
        <w:fldChar w:fldCharType="begin"/>
      </w:r>
      <w:r>
        <w:rPr>
          <w:noProof/>
        </w:rPr>
        <w:instrText xml:space="preserve"> PAGEREF _Toc448741360 \h </w:instrText>
      </w:r>
      <w:r w:rsidR="00927113">
        <w:rPr>
          <w:noProof/>
        </w:rPr>
      </w:r>
      <w:r w:rsidR="00927113">
        <w:rPr>
          <w:noProof/>
        </w:rPr>
        <w:fldChar w:fldCharType="separate"/>
      </w:r>
      <w:r w:rsidR="006B1686">
        <w:rPr>
          <w:noProof/>
        </w:rPr>
        <w:t>9</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1.2.1</w:t>
      </w:r>
      <w:r>
        <w:rPr>
          <w:rFonts w:asciiTheme="minorHAnsi" w:eastAsiaTheme="minorEastAsia" w:hAnsiTheme="minorHAnsi" w:cstheme="minorBidi"/>
          <w:noProof/>
          <w:sz w:val="22"/>
          <w:szCs w:val="22"/>
        </w:rPr>
        <w:tab/>
      </w:r>
      <w:r>
        <w:rPr>
          <w:noProof/>
        </w:rPr>
        <w:t>Documentos que regirán en las obras afectadas</w:t>
      </w:r>
      <w:r>
        <w:rPr>
          <w:noProof/>
        </w:rPr>
        <w:tab/>
      </w:r>
      <w:r w:rsidR="00927113">
        <w:rPr>
          <w:noProof/>
        </w:rPr>
        <w:fldChar w:fldCharType="begin"/>
      </w:r>
      <w:r>
        <w:rPr>
          <w:noProof/>
        </w:rPr>
        <w:instrText xml:space="preserve"> PAGEREF _Toc448741361 \h </w:instrText>
      </w:r>
      <w:r w:rsidR="00927113">
        <w:rPr>
          <w:noProof/>
        </w:rPr>
      </w:r>
      <w:r w:rsidR="00927113">
        <w:rPr>
          <w:noProof/>
        </w:rPr>
        <w:fldChar w:fldCharType="separate"/>
      </w:r>
      <w:r w:rsidR="006B1686">
        <w:rPr>
          <w:noProof/>
        </w:rPr>
        <w:t>9</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1.2.2</w:t>
      </w:r>
      <w:r>
        <w:rPr>
          <w:rFonts w:asciiTheme="minorHAnsi" w:eastAsiaTheme="minorEastAsia" w:hAnsiTheme="minorHAnsi" w:cstheme="minorBidi"/>
          <w:noProof/>
          <w:sz w:val="22"/>
          <w:szCs w:val="22"/>
        </w:rPr>
        <w:tab/>
      </w:r>
      <w:r>
        <w:rPr>
          <w:noProof/>
        </w:rPr>
        <w:t>Definiciones</w:t>
      </w:r>
      <w:r>
        <w:rPr>
          <w:noProof/>
        </w:rPr>
        <w:tab/>
      </w:r>
      <w:r w:rsidR="00927113">
        <w:rPr>
          <w:noProof/>
        </w:rPr>
        <w:fldChar w:fldCharType="begin"/>
      </w:r>
      <w:r>
        <w:rPr>
          <w:noProof/>
        </w:rPr>
        <w:instrText xml:space="preserve"> PAGEREF _Toc448741362 \h </w:instrText>
      </w:r>
      <w:r w:rsidR="00927113">
        <w:rPr>
          <w:noProof/>
        </w:rPr>
      </w:r>
      <w:r w:rsidR="00927113">
        <w:rPr>
          <w:noProof/>
        </w:rPr>
        <w:fldChar w:fldCharType="separate"/>
      </w:r>
      <w:r w:rsidR="006B1686">
        <w:rPr>
          <w:noProof/>
        </w:rPr>
        <w:t>9</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1.2.3</w:t>
      </w:r>
      <w:r>
        <w:rPr>
          <w:rFonts w:asciiTheme="minorHAnsi" w:eastAsiaTheme="minorEastAsia" w:hAnsiTheme="minorHAnsi" w:cstheme="minorBidi"/>
          <w:noProof/>
          <w:sz w:val="22"/>
          <w:szCs w:val="22"/>
        </w:rPr>
        <w:tab/>
      </w:r>
      <w:r>
        <w:rPr>
          <w:noProof/>
        </w:rPr>
        <w:t>Afecciones</w:t>
      </w:r>
      <w:r>
        <w:rPr>
          <w:noProof/>
        </w:rPr>
        <w:tab/>
      </w:r>
      <w:r w:rsidR="00927113">
        <w:rPr>
          <w:noProof/>
        </w:rPr>
        <w:fldChar w:fldCharType="begin"/>
      </w:r>
      <w:r>
        <w:rPr>
          <w:noProof/>
        </w:rPr>
        <w:instrText xml:space="preserve"> PAGEREF _Toc448741363 \h </w:instrText>
      </w:r>
      <w:r w:rsidR="00927113">
        <w:rPr>
          <w:noProof/>
        </w:rPr>
      </w:r>
      <w:r w:rsidR="00927113">
        <w:rPr>
          <w:noProof/>
        </w:rPr>
        <w:fldChar w:fldCharType="separate"/>
      </w:r>
      <w:r w:rsidR="006B1686">
        <w:rPr>
          <w:noProof/>
        </w:rPr>
        <w:t>11</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1.2.4</w:t>
      </w:r>
      <w:r>
        <w:rPr>
          <w:rFonts w:asciiTheme="minorHAnsi" w:eastAsiaTheme="minorEastAsia" w:hAnsiTheme="minorHAnsi" w:cstheme="minorBidi"/>
          <w:noProof/>
          <w:sz w:val="22"/>
          <w:szCs w:val="22"/>
        </w:rPr>
        <w:tab/>
      </w:r>
      <w:r>
        <w:rPr>
          <w:noProof/>
        </w:rPr>
        <w:t>Materiales en contacto con agua de consumo humano</w:t>
      </w:r>
      <w:r>
        <w:rPr>
          <w:noProof/>
        </w:rPr>
        <w:tab/>
      </w:r>
      <w:r w:rsidR="00927113">
        <w:rPr>
          <w:noProof/>
        </w:rPr>
        <w:fldChar w:fldCharType="begin"/>
      </w:r>
      <w:r>
        <w:rPr>
          <w:noProof/>
        </w:rPr>
        <w:instrText xml:space="preserve"> PAGEREF _Toc448741364 \h </w:instrText>
      </w:r>
      <w:r w:rsidR="00927113">
        <w:rPr>
          <w:noProof/>
        </w:rPr>
      </w:r>
      <w:r w:rsidR="00927113">
        <w:rPr>
          <w:noProof/>
        </w:rPr>
        <w:fldChar w:fldCharType="separate"/>
      </w:r>
      <w:r w:rsidR="006B1686">
        <w:rPr>
          <w:noProof/>
        </w:rPr>
        <w:t>12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1.2.5</w:t>
      </w:r>
      <w:r>
        <w:rPr>
          <w:rFonts w:asciiTheme="minorHAnsi" w:eastAsiaTheme="minorEastAsia" w:hAnsiTheme="minorHAnsi" w:cstheme="minorBidi"/>
          <w:noProof/>
          <w:sz w:val="22"/>
          <w:szCs w:val="22"/>
        </w:rPr>
        <w:tab/>
      </w:r>
      <w:r>
        <w:rPr>
          <w:noProof/>
        </w:rPr>
        <w:t>Productos de construcción</w:t>
      </w:r>
      <w:r>
        <w:rPr>
          <w:noProof/>
        </w:rPr>
        <w:tab/>
      </w:r>
      <w:r w:rsidR="00927113">
        <w:rPr>
          <w:noProof/>
        </w:rPr>
        <w:fldChar w:fldCharType="begin"/>
      </w:r>
      <w:r>
        <w:rPr>
          <w:noProof/>
        </w:rPr>
        <w:instrText xml:space="preserve"> PAGEREF _Toc448741365 \h </w:instrText>
      </w:r>
      <w:r w:rsidR="00927113">
        <w:rPr>
          <w:noProof/>
        </w:rPr>
      </w:r>
      <w:r w:rsidR="00927113">
        <w:rPr>
          <w:noProof/>
        </w:rPr>
        <w:fldChar w:fldCharType="separate"/>
      </w:r>
      <w:r w:rsidR="006B1686">
        <w:rPr>
          <w:noProof/>
        </w:rPr>
        <w:t>12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1.2.6</w:t>
      </w:r>
      <w:r>
        <w:rPr>
          <w:rFonts w:asciiTheme="minorHAnsi" w:eastAsiaTheme="minorEastAsia" w:hAnsiTheme="minorHAnsi" w:cstheme="minorBidi"/>
          <w:noProof/>
          <w:sz w:val="22"/>
          <w:szCs w:val="22"/>
        </w:rPr>
        <w:tab/>
      </w:r>
      <w:r>
        <w:rPr>
          <w:noProof/>
        </w:rPr>
        <w:t>Seguridad y Salud en las obras</w:t>
      </w:r>
      <w:r>
        <w:rPr>
          <w:noProof/>
        </w:rPr>
        <w:tab/>
      </w:r>
      <w:r w:rsidR="00927113">
        <w:rPr>
          <w:noProof/>
        </w:rPr>
        <w:fldChar w:fldCharType="begin"/>
      </w:r>
      <w:r>
        <w:rPr>
          <w:noProof/>
        </w:rPr>
        <w:instrText xml:space="preserve"> PAGEREF _Toc448741366 \h </w:instrText>
      </w:r>
      <w:r w:rsidR="00927113">
        <w:rPr>
          <w:noProof/>
        </w:rPr>
      </w:r>
      <w:r w:rsidR="00927113">
        <w:rPr>
          <w:noProof/>
        </w:rPr>
        <w:fldChar w:fldCharType="separate"/>
      </w:r>
      <w:r w:rsidR="006B1686">
        <w:rPr>
          <w:noProof/>
        </w:rPr>
        <w:t>12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1.2.7</w:t>
      </w:r>
      <w:r>
        <w:rPr>
          <w:rFonts w:asciiTheme="minorHAnsi" w:eastAsiaTheme="minorEastAsia" w:hAnsiTheme="minorHAnsi" w:cstheme="minorBidi"/>
          <w:noProof/>
          <w:sz w:val="22"/>
          <w:szCs w:val="22"/>
        </w:rPr>
        <w:tab/>
      </w:r>
      <w:r>
        <w:rPr>
          <w:noProof/>
        </w:rPr>
        <w:t>Medidas de prevención y seguridad en las instalaciones</w:t>
      </w:r>
      <w:r>
        <w:rPr>
          <w:noProof/>
        </w:rPr>
        <w:tab/>
      </w:r>
      <w:r w:rsidR="00927113">
        <w:rPr>
          <w:noProof/>
        </w:rPr>
        <w:fldChar w:fldCharType="begin"/>
      </w:r>
      <w:r>
        <w:rPr>
          <w:noProof/>
        </w:rPr>
        <w:instrText xml:space="preserve"> PAGEREF _Toc448741367 \h </w:instrText>
      </w:r>
      <w:r w:rsidR="00927113">
        <w:rPr>
          <w:noProof/>
        </w:rPr>
      </w:r>
      <w:r w:rsidR="00927113">
        <w:rPr>
          <w:noProof/>
        </w:rPr>
        <w:fldChar w:fldCharType="separate"/>
      </w:r>
      <w:r w:rsidR="006B1686">
        <w:rPr>
          <w:noProof/>
        </w:rPr>
        <w:t>12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1.2.8</w:t>
      </w:r>
      <w:r>
        <w:rPr>
          <w:rFonts w:asciiTheme="minorHAnsi" w:eastAsiaTheme="minorEastAsia" w:hAnsiTheme="minorHAnsi" w:cstheme="minorBidi"/>
          <w:noProof/>
          <w:sz w:val="22"/>
          <w:szCs w:val="22"/>
        </w:rPr>
        <w:tab/>
      </w:r>
      <w:r>
        <w:rPr>
          <w:noProof/>
        </w:rPr>
        <w:t>Gestión de residuos durante las obras</w:t>
      </w:r>
      <w:r>
        <w:rPr>
          <w:noProof/>
        </w:rPr>
        <w:tab/>
      </w:r>
      <w:r w:rsidR="00927113">
        <w:rPr>
          <w:noProof/>
        </w:rPr>
        <w:fldChar w:fldCharType="begin"/>
      </w:r>
      <w:r>
        <w:rPr>
          <w:noProof/>
        </w:rPr>
        <w:instrText xml:space="preserve"> PAGEREF _Toc448741368 \h </w:instrText>
      </w:r>
      <w:r w:rsidR="00927113">
        <w:rPr>
          <w:noProof/>
        </w:rPr>
      </w:r>
      <w:r w:rsidR="00927113">
        <w:rPr>
          <w:noProof/>
        </w:rPr>
        <w:fldChar w:fldCharType="separate"/>
      </w:r>
      <w:r w:rsidR="006B1686">
        <w:rPr>
          <w:noProof/>
        </w:rPr>
        <w:t>13</w:t>
      </w:r>
      <w:r w:rsidR="00927113">
        <w:rPr>
          <w:noProof/>
        </w:rPr>
        <w:fldChar w:fldCharType="end"/>
      </w:r>
    </w:p>
    <w:p w:rsidR="00360671" w:rsidRDefault="00360671">
      <w:pPr>
        <w:pStyle w:val="TDC2"/>
        <w:tabs>
          <w:tab w:val="left" w:pos="2451"/>
        </w:tabs>
        <w:rPr>
          <w:rFonts w:asciiTheme="minorHAnsi" w:eastAsiaTheme="minorEastAsia" w:hAnsiTheme="minorHAnsi" w:cstheme="minorBidi"/>
          <w:noProof/>
          <w:szCs w:val="22"/>
        </w:rPr>
      </w:pPr>
      <w:r w:rsidRPr="00DC18DE">
        <w:rPr>
          <w:rFonts w:cs="Arial"/>
          <w:noProof/>
        </w:rPr>
        <w:t>SUBCAPÍTULO 1.3</w:t>
      </w:r>
      <w:r>
        <w:rPr>
          <w:rFonts w:asciiTheme="minorHAnsi" w:eastAsiaTheme="minorEastAsia" w:hAnsiTheme="minorHAnsi" w:cstheme="minorBidi"/>
          <w:noProof/>
          <w:szCs w:val="22"/>
        </w:rPr>
        <w:tab/>
      </w:r>
      <w:r w:rsidRPr="00DC18DE">
        <w:rPr>
          <w:noProof/>
        </w:rPr>
        <w:t>CONDICIONES ADMINISTRATIVAS QUE REGIRÁN EN LA EJECUCIÓN DE LAS OBRAS</w:t>
      </w:r>
      <w:r>
        <w:rPr>
          <w:noProof/>
        </w:rPr>
        <w:tab/>
      </w:r>
      <w:r w:rsidR="00927113">
        <w:rPr>
          <w:noProof/>
        </w:rPr>
        <w:fldChar w:fldCharType="begin"/>
      </w:r>
      <w:r>
        <w:rPr>
          <w:noProof/>
        </w:rPr>
        <w:instrText xml:space="preserve"> PAGEREF _Toc448741369 \h </w:instrText>
      </w:r>
      <w:r w:rsidR="00927113">
        <w:rPr>
          <w:noProof/>
        </w:rPr>
      </w:r>
      <w:r w:rsidR="00927113">
        <w:rPr>
          <w:noProof/>
        </w:rPr>
        <w:fldChar w:fldCharType="separate"/>
      </w:r>
      <w:r w:rsidR="006B1686">
        <w:rPr>
          <w:noProof/>
        </w:rPr>
        <w:t>13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1.3.1</w:t>
      </w:r>
      <w:r>
        <w:rPr>
          <w:rFonts w:asciiTheme="minorHAnsi" w:eastAsiaTheme="minorEastAsia" w:hAnsiTheme="minorHAnsi" w:cstheme="minorBidi"/>
          <w:noProof/>
          <w:sz w:val="22"/>
          <w:szCs w:val="22"/>
        </w:rPr>
        <w:tab/>
      </w:r>
      <w:r>
        <w:rPr>
          <w:noProof/>
        </w:rPr>
        <w:t>Forma de ejecutar las obras</w:t>
      </w:r>
      <w:r>
        <w:rPr>
          <w:noProof/>
        </w:rPr>
        <w:tab/>
      </w:r>
      <w:r w:rsidR="00927113">
        <w:rPr>
          <w:noProof/>
        </w:rPr>
        <w:fldChar w:fldCharType="begin"/>
      </w:r>
      <w:r>
        <w:rPr>
          <w:noProof/>
        </w:rPr>
        <w:instrText xml:space="preserve"> PAGEREF _Toc448741370 \h </w:instrText>
      </w:r>
      <w:r w:rsidR="00927113">
        <w:rPr>
          <w:noProof/>
        </w:rPr>
      </w:r>
      <w:r w:rsidR="00927113">
        <w:rPr>
          <w:noProof/>
        </w:rPr>
        <w:fldChar w:fldCharType="separate"/>
      </w:r>
      <w:r w:rsidR="006B1686">
        <w:rPr>
          <w:noProof/>
        </w:rPr>
        <w:t>13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1.3.2</w:t>
      </w:r>
      <w:r>
        <w:rPr>
          <w:rFonts w:asciiTheme="minorHAnsi" w:eastAsiaTheme="minorEastAsia" w:hAnsiTheme="minorHAnsi" w:cstheme="minorBidi"/>
          <w:noProof/>
          <w:sz w:val="22"/>
          <w:szCs w:val="22"/>
        </w:rPr>
        <w:tab/>
      </w:r>
      <w:r>
        <w:rPr>
          <w:noProof/>
        </w:rPr>
        <w:t>Aportación de equipo y maquinaria</w:t>
      </w:r>
      <w:r>
        <w:rPr>
          <w:noProof/>
        </w:rPr>
        <w:tab/>
      </w:r>
      <w:r w:rsidR="00927113">
        <w:rPr>
          <w:noProof/>
        </w:rPr>
        <w:fldChar w:fldCharType="begin"/>
      </w:r>
      <w:r>
        <w:rPr>
          <w:noProof/>
        </w:rPr>
        <w:instrText xml:space="preserve"> PAGEREF _Toc448741371 \h </w:instrText>
      </w:r>
      <w:r w:rsidR="00927113">
        <w:rPr>
          <w:noProof/>
        </w:rPr>
      </w:r>
      <w:r w:rsidR="00927113">
        <w:rPr>
          <w:noProof/>
        </w:rPr>
        <w:fldChar w:fldCharType="separate"/>
      </w:r>
      <w:r w:rsidR="006B1686">
        <w:rPr>
          <w:noProof/>
        </w:rPr>
        <w:t>15</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1.3.3</w:t>
      </w:r>
      <w:r>
        <w:rPr>
          <w:rFonts w:asciiTheme="minorHAnsi" w:eastAsiaTheme="minorEastAsia" w:hAnsiTheme="minorHAnsi" w:cstheme="minorBidi"/>
          <w:noProof/>
          <w:sz w:val="22"/>
          <w:szCs w:val="22"/>
        </w:rPr>
        <w:tab/>
      </w:r>
      <w:r>
        <w:rPr>
          <w:noProof/>
        </w:rPr>
        <w:t>Período de Construcción</w:t>
      </w:r>
      <w:r>
        <w:rPr>
          <w:noProof/>
        </w:rPr>
        <w:tab/>
      </w:r>
      <w:r w:rsidR="00927113">
        <w:rPr>
          <w:noProof/>
        </w:rPr>
        <w:fldChar w:fldCharType="begin"/>
      </w:r>
      <w:r>
        <w:rPr>
          <w:noProof/>
        </w:rPr>
        <w:instrText xml:space="preserve"> PAGEREF _Toc448741372 \h </w:instrText>
      </w:r>
      <w:r w:rsidR="00927113">
        <w:rPr>
          <w:noProof/>
        </w:rPr>
      </w:r>
      <w:r w:rsidR="00927113">
        <w:rPr>
          <w:noProof/>
        </w:rPr>
        <w:fldChar w:fldCharType="separate"/>
      </w:r>
      <w:r w:rsidR="006B1686">
        <w:rPr>
          <w:noProof/>
        </w:rPr>
        <w:t>15</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1.3.4</w:t>
      </w:r>
      <w:r>
        <w:rPr>
          <w:rFonts w:asciiTheme="minorHAnsi" w:eastAsiaTheme="minorEastAsia" w:hAnsiTheme="minorHAnsi" w:cstheme="minorBidi"/>
          <w:noProof/>
          <w:sz w:val="22"/>
          <w:szCs w:val="22"/>
        </w:rPr>
        <w:tab/>
      </w:r>
      <w:r>
        <w:rPr>
          <w:noProof/>
        </w:rPr>
        <w:t>Período de Prueba General de Funcionamiento</w:t>
      </w:r>
      <w:r>
        <w:rPr>
          <w:noProof/>
        </w:rPr>
        <w:tab/>
      </w:r>
      <w:r w:rsidR="00927113">
        <w:rPr>
          <w:noProof/>
        </w:rPr>
        <w:fldChar w:fldCharType="begin"/>
      </w:r>
      <w:r>
        <w:rPr>
          <w:noProof/>
        </w:rPr>
        <w:instrText xml:space="preserve"> PAGEREF _Toc448741373 \h </w:instrText>
      </w:r>
      <w:r w:rsidR="00927113">
        <w:rPr>
          <w:noProof/>
        </w:rPr>
      </w:r>
      <w:r w:rsidR="00927113">
        <w:rPr>
          <w:noProof/>
        </w:rPr>
        <w:fldChar w:fldCharType="separate"/>
      </w:r>
      <w:r w:rsidR="006B1686">
        <w:rPr>
          <w:noProof/>
        </w:rPr>
        <w:t>15</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1.3.5</w:t>
      </w:r>
      <w:r>
        <w:rPr>
          <w:rFonts w:asciiTheme="minorHAnsi" w:eastAsiaTheme="minorEastAsia" w:hAnsiTheme="minorHAnsi" w:cstheme="minorBidi"/>
          <w:noProof/>
          <w:sz w:val="22"/>
          <w:szCs w:val="22"/>
        </w:rPr>
        <w:tab/>
      </w:r>
      <w:r>
        <w:rPr>
          <w:noProof/>
        </w:rPr>
        <w:t>Pruebas y ensayos previos a la recepción</w:t>
      </w:r>
      <w:r>
        <w:rPr>
          <w:noProof/>
        </w:rPr>
        <w:tab/>
      </w:r>
      <w:r w:rsidR="00927113">
        <w:rPr>
          <w:noProof/>
        </w:rPr>
        <w:fldChar w:fldCharType="begin"/>
      </w:r>
      <w:r>
        <w:rPr>
          <w:noProof/>
        </w:rPr>
        <w:instrText xml:space="preserve"> PAGEREF _Toc448741374 \h </w:instrText>
      </w:r>
      <w:r w:rsidR="00927113">
        <w:rPr>
          <w:noProof/>
        </w:rPr>
      </w:r>
      <w:r w:rsidR="00927113">
        <w:rPr>
          <w:noProof/>
        </w:rPr>
        <w:fldChar w:fldCharType="separate"/>
      </w:r>
      <w:r w:rsidR="006B1686">
        <w:rPr>
          <w:noProof/>
        </w:rPr>
        <w:t>16</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1.3.6</w:t>
      </w:r>
      <w:r>
        <w:rPr>
          <w:rFonts w:asciiTheme="minorHAnsi" w:eastAsiaTheme="minorEastAsia" w:hAnsiTheme="minorHAnsi" w:cstheme="minorBidi"/>
          <w:noProof/>
          <w:sz w:val="22"/>
          <w:szCs w:val="22"/>
        </w:rPr>
        <w:tab/>
      </w:r>
      <w:r>
        <w:rPr>
          <w:noProof/>
        </w:rPr>
        <w:t>Actas de Pruebas</w:t>
      </w:r>
      <w:r>
        <w:rPr>
          <w:noProof/>
        </w:rPr>
        <w:tab/>
      </w:r>
      <w:r w:rsidR="00927113">
        <w:rPr>
          <w:noProof/>
        </w:rPr>
        <w:fldChar w:fldCharType="begin"/>
      </w:r>
      <w:r>
        <w:rPr>
          <w:noProof/>
        </w:rPr>
        <w:instrText xml:space="preserve"> PAGEREF _Toc448741375 \h </w:instrText>
      </w:r>
      <w:r w:rsidR="00927113">
        <w:rPr>
          <w:noProof/>
        </w:rPr>
      </w:r>
      <w:r w:rsidR="00927113">
        <w:rPr>
          <w:noProof/>
        </w:rPr>
        <w:fldChar w:fldCharType="separate"/>
      </w:r>
      <w:r w:rsidR="006B1686">
        <w:rPr>
          <w:noProof/>
        </w:rPr>
        <w:t>17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1.3.7</w:t>
      </w:r>
      <w:r>
        <w:rPr>
          <w:rFonts w:asciiTheme="minorHAnsi" w:eastAsiaTheme="minorEastAsia" w:hAnsiTheme="minorHAnsi" w:cstheme="minorBidi"/>
          <w:noProof/>
          <w:sz w:val="22"/>
          <w:szCs w:val="22"/>
        </w:rPr>
        <w:tab/>
      </w:r>
      <w:r>
        <w:rPr>
          <w:noProof/>
        </w:rPr>
        <w:t>Pruebas de rendimiento durante el período de garantía</w:t>
      </w:r>
      <w:r>
        <w:rPr>
          <w:noProof/>
        </w:rPr>
        <w:tab/>
      </w:r>
      <w:r w:rsidR="00927113">
        <w:rPr>
          <w:noProof/>
        </w:rPr>
        <w:fldChar w:fldCharType="begin"/>
      </w:r>
      <w:r>
        <w:rPr>
          <w:noProof/>
        </w:rPr>
        <w:instrText xml:space="preserve"> PAGEREF _Toc448741376 \h </w:instrText>
      </w:r>
      <w:r w:rsidR="00927113">
        <w:rPr>
          <w:noProof/>
        </w:rPr>
      </w:r>
      <w:r w:rsidR="00927113">
        <w:rPr>
          <w:noProof/>
        </w:rPr>
        <w:fldChar w:fldCharType="separate"/>
      </w:r>
      <w:r w:rsidR="006B1686">
        <w:rPr>
          <w:noProof/>
        </w:rPr>
        <w:t>17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1.3.8</w:t>
      </w:r>
      <w:r>
        <w:rPr>
          <w:rFonts w:asciiTheme="minorHAnsi" w:eastAsiaTheme="minorEastAsia" w:hAnsiTheme="minorHAnsi" w:cstheme="minorBidi"/>
          <w:noProof/>
          <w:sz w:val="22"/>
          <w:szCs w:val="22"/>
        </w:rPr>
        <w:tab/>
      </w:r>
      <w:r>
        <w:rPr>
          <w:noProof/>
        </w:rPr>
        <w:t>Materiales y unidades no incluidos en el presente Pliego</w:t>
      </w:r>
      <w:r>
        <w:rPr>
          <w:noProof/>
        </w:rPr>
        <w:tab/>
      </w:r>
      <w:r w:rsidR="00927113">
        <w:rPr>
          <w:noProof/>
        </w:rPr>
        <w:fldChar w:fldCharType="begin"/>
      </w:r>
      <w:r>
        <w:rPr>
          <w:noProof/>
        </w:rPr>
        <w:instrText xml:space="preserve"> PAGEREF _Toc448741377 \h </w:instrText>
      </w:r>
      <w:r w:rsidR="00927113">
        <w:rPr>
          <w:noProof/>
        </w:rPr>
      </w:r>
      <w:r w:rsidR="00927113">
        <w:rPr>
          <w:noProof/>
        </w:rPr>
        <w:fldChar w:fldCharType="separate"/>
      </w:r>
      <w:r w:rsidR="006B1686">
        <w:rPr>
          <w:noProof/>
        </w:rPr>
        <w:t>17</w:t>
      </w:r>
      <w:r w:rsidR="00927113">
        <w:rPr>
          <w:noProof/>
        </w:rPr>
        <w:fldChar w:fldCharType="end"/>
      </w:r>
    </w:p>
    <w:p w:rsidR="00360671" w:rsidRDefault="00360671">
      <w:pPr>
        <w:pStyle w:val="TDC1"/>
        <w:tabs>
          <w:tab w:val="left" w:pos="1760"/>
        </w:tabs>
        <w:rPr>
          <w:rFonts w:asciiTheme="minorHAnsi" w:eastAsiaTheme="minorEastAsia" w:hAnsiTheme="minorHAnsi" w:cstheme="minorBidi"/>
          <w:b w:val="0"/>
          <w:noProof/>
          <w:szCs w:val="22"/>
        </w:rPr>
      </w:pPr>
      <w:r w:rsidRPr="00DC18DE">
        <w:rPr>
          <w:noProof/>
          <w:u w:val="thick"/>
        </w:rPr>
        <w:t>CAPÍTULO 2.</w:t>
      </w:r>
      <w:r>
        <w:rPr>
          <w:rFonts w:asciiTheme="minorHAnsi" w:eastAsiaTheme="minorEastAsia" w:hAnsiTheme="minorHAnsi" w:cstheme="minorBidi"/>
          <w:b w:val="0"/>
          <w:noProof/>
          <w:szCs w:val="22"/>
        </w:rPr>
        <w:tab/>
      </w:r>
      <w:r>
        <w:rPr>
          <w:noProof/>
        </w:rPr>
        <w:t>PROTECCIONES MEDIOAMBIENTALES</w:t>
      </w:r>
      <w:r>
        <w:rPr>
          <w:noProof/>
        </w:rPr>
        <w:tab/>
      </w:r>
      <w:r w:rsidR="00927113">
        <w:rPr>
          <w:noProof/>
        </w:rPr>
        <w:fldChar w:fldCharType="begin"/>
      </w:r>
      <w:r>
        <w:rPr>
          <w:noProof/>
        </w:rPr>
        <w:instrText xml:space="preserve"> PAGEREF _Toc448741378 \h </w:instrText>
      </w:r>
      <w:r w:rsidR="00927113">
        <w:rPr>
          <w:noProof/>
        </w:rPr>
      </w:r>
      <w:r w:rsidR="00927113">
        <w:rPr>
          <w:noProof/>
        </w:rPr>
        <w:fldChar w:fldCharType="separate"/>
      </w:r>
      <w:r w:rsidR="006B1686">
        <w:rPr>
          <w:noProof/>
        </w:rPr>
        <w:t>18</w:t>
      </w:r>
      <w:r w:rsidR="00927113">
        <w:rPr>
          <w:noProof/>
        </w:rPr>
        <w:fldChar w:fldCharType="end"/>
      </w:r>
    </w:p>
    <w:p w:rsidR="00360671" w:rsidRDefault="00360671">
      <w:pPr>
        <w:pStyle w:val="TDC1"/>
        <w:tabs>
          <w:tab w:val="left" w:pos="1760"/>
        </w:tabs>
        <w:rPr>
          <w:rFonts w:asciiTheme="minorHAnsi" w:eastAsiaTheme="minorEastAsia" w:hAnsiTheme="minorHAnsi" w:cstheme="minorBidi"/>
          <w:b w:val="0"/>
          <w:noProof/>
          <w:szCs w:val="22"/>
        </w:rPr>
      </w:pPr>
      <w:r w:rsidRPr="00DC18DE">
        <w:rPr>
          <w:noProof/>
          <w:u w:val="thick"/>
        </w:rPr>
        <w:t>CAPÍTULO 3.</w:t>
      </w:r>
      <w:r>
        <w:rPr>
          <w:rFonts w:asciiTheme="minorHAnsi" w:eastAsiaTheme="minorEastAsia" w:hAnsiTheme="minorHAnsi" w:cstheme="minorBidi"/>
          <w:b w:val="0"/>
          <w:noProof/>
          <w:szCs w:val="22"/>
        </w:rPr>
        <w:tab/>
      </w:r>
      <w:r>
        <w:rPr>
          <w:noProof/>
        </w:rPr>
        <w:t>LEGISLACIÓN Y NORMATIVA DE APLICACIÓN</w:t>
      </w:r>
      <w:r>
        <w:rPr>
          <w:noProof/>
        </w:rPr>
        <w:tab/>
      </w:r>
      <w:r w:rsidR="00927113">
        <w:rPr>
          <w:noProof/>
        </w:rPr>
        <w:fldChar w:fldCharType="begin"/>
      </w:r>
      <w:r>
        <w:rPr>
          <w:noProof/>
        </w:rPr>
        <w:instrText xml:space="preserve"> PAGEREF _Toc448741379 \h </w:instrText>
      </w:r>
      <w:r w:rsidR="00927113">
        <w:rPr>
          <w:noProof/>
        </w:rPr>
      </w:r>
      <w:r w:rsidR="00927113">
        <w:rPr>
          <w:noProof/>
        </w:rPr>
        <w:fldChar w:fldCharType="separate"/>
      </w:r>
      <w:r w:rsidR="006B1686">
        <w:rPr>
          <w:noProof/>
        </w:rPr>
        <w:t>19</w:t>
      </w:r>
      <w:r w:rsidR="00927113">
        <w:rPr>
          <w:noProof/>
        </w:rPr>
        <w:fldChar w:fldCharType="end"/>
      </w:r>
    </w:p>
    <w:p w:rsidR="00360671" w:rsidRDefault="00360671">
      <w:pPr>
        <w:pStyle w:val="TDC1"/>
        <w:tabs>
          <w:tab w:val="left" w:pos="1760"/>
        </w:tabs>
        <w:rPr>
          <w:rFonts w:asciiTheme="minorHAnsi" w:eastAsiaTheme="minorEastAsia" w:hAnsiTheme="minorHAnsi" w:cstheme="minorBidi"/>
          <w:b w:val="0"/>
          <w:noProof/>
          <w:szCs w:val="22"/>
        </w:rPr>
      </w:pPr>
      <w:r w:rsidRPr="00DC18DE">
        <w:rPr>
          <w:noProof/>
          <w:u w:val="thick"/>
        </w:rPr>
        <w:t>CAPÍTULO 4.</w:t>
      </w:r>
      <w:r>
        <w:rPr>
          <w:rFonts w:asciiTheme="minorHAnsi" w:eastAsiaTheme="minorEastAsia" w:hAnsiTheme="minorHAnsi" w:cstheme="minorBidi"/>
          <w:b w:val="0"/>
          <w:noProof/>
          <w:szCs w:val="22"/>
        </w:rPr>
        <w:tab/>
      </w:r>
      <w:r>
        <w:rPr>
          <w:noProof/>
        </w:rPr>
        <w:t>OBRA CIVIL</w:t>
      </w:r>
      <w:r>
        <w:rPr>
          <w:noProof/>
        </w:rPr>
        <w:tab/>
      </w:r>
      <w:r w:rsidR="00927113">
        <w:rPr>
          <w:noProof/>
        </w:rPr>
        <w:fldChar w:fldCharType="begin"/>
      </w:r>
      <w:r>
        <w:rPr>
          <w:noProof/>
        </w:rPr>
        <w:instrText xml:space="preserve"> PAGEREF _Toc448741380 \h </w:instrText>
      </w:r>
      <w:r w:rsidR="00927113">
        <w:rPr>
          <w:noProof/>
        </w:rPr>
      </w:r>
      <w:r w:rsidR="00927113">
        <w:rPr>
          <w:noProof/>
        </w:rPr>
        <w:fldChar w:fldCharType="separate"/>
      </w:r>
      <w:r w:rsidR="006B1686">
        <w:rPr>
          <w:noProof/>
        </w:rPr>
        <w:t>44</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4.1</w:t>
      </w:r>
      <w:r>
        <w:rPr>
          <w:rFonts w:asciiTheme="minorHAnsi" w:eastAsiaTheme="minorEastAsia" w:hAnsiTheme="minorHAnsi" w:cstheme="minorBidi"/>
          <w:noProof/>
          <w:szCs w:val="22"/>
        </w:rPr>
        <w:tab/>
      </w:r>
      <w:r w:rsidRPr="00DC18DE">
        <w:rPr>
          <w:noProof/>
        </w:rPr>
        <w:t>MOVIMIENTOS DE TIERRAS Y DRENAJES</w:t>
      </w:r>
      <w:r>
        <w:rPr>
          <w:noProof/>
        </w:rPr>
        <w:tab/>
      </w:r>
      <w:r w:rsidR="00927113">
        <w:rPr>
          <w:noProof/>
        </w:rPr>
        <w:fldChar w:fldCharType="begin"/>
      </w:r>
      <w:r>
        <w:rPr>
          <w:noProof/>
        </w:rPr>
        <w:instrText xml:space="preserve"> PAGEREF _Toc448741381 \h </w:instrText>
      </w:r>
      <w:r w:rsidR="00927113">
        <w:rPr>
          <w:noProof/>
        </w:rPr>
      </w:r>
      <w:r w:rsidR="00927113">
        <w:rPr>
          <w:noProof/>
        </w:rPr>
        <w:fldChar w:fldCharType="separate"/>
      </w:r>
      <w:r w:rsidR="006B1686">
        <w:rPr>
          <w:noProof/>
        </w:rPr>
        <w:t>44</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4.1.1</w:t>
      </w:r>
      <w:r>
        <w:rPr>
          <w:rFonts w:asciiTheme="minorHAnsi" w:eastAsiaTheme="minorEastAsia" w:hAnsiTheme="minorHAnsi" w:cstheme="minorBidi"/>
          <w:noProof/>
          <w:sz w:val="22"/>
          <w:szCs w:val="22"/>
        </w:rPr>
        <w:tab/>
      </w:r>
      <w:r>
        <w:rPr>
          <w:noProof/>
        </w:rPr>
        <w:t>Despeje, desbroce del terreno y retirada de tierra vegetal</w:t>
      </w:r>
      <w:r>
        <w:rPr>
          <w:noProof/>
        </w:rPr>
        <w:tab/>
      </w:r>
      <w:r w:rsidR="00927113">
        <w:rPr>
          <w:noProof/>
        </w:rPr>
        <w:fldChar w:fldCharType="begin"/>
      </w:r>
      <w:r>
        <w:rPr>
          <w:noProof/>
        </w:rPr>
        <w:instrText xml:space="preserve"> PAGEREF _Toc448741382 \h </w:instrText>
      </w:r>
      <w:r w:rsidR="00927113">
        <w:rPr>
          <w:noProof/>
        </w:rPr>
      </w:r>
      <w:r w:rsidR="00927113">
        <w:rPr>
          <w:noProof/>
        </w:rPr>
        <w:fldChar w:fldCharType="separate"/>
      </w:r>
      <w:r w:rsidR="006B1686">
        <w:rPr>
          <w:noProof/>
        </w:rPr>
        <w:t>44</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4.1.2</w:t>
      </w:r>
      <w:r>
        <w:rPr>
          <w:rFonts w:asciiTheme="minorHAnsi" w:eastAsiaTheme="minorEastAsia" w:hAnsiTheme="minorHAnsi" w:cstheme="minorBidi"/>
          <w:noProof/>
          <w:sz w:val="22"/>
          <w:szCs w:val="22"/>
        </w:rPr>
        <w:tab/>
      </w:r>
      <w:r>
        <w:rPr>
          <w:noProof/>
        </w:rPr>
        <w:t>Demoliciones</w:t>
      </w:r>
      <w:r>
        <w:rPr>
          <w:noProof/>
        </w:rPr>
        <w:tab/>
      </w:r>
      <w:r w:rsidR="00927113">
        <w:rPr>
          <w:noProof/>
        </w:rPr>
        <w:fldChar w:fldCharType="begin"/>
      </w:r>
      <w:r>
        <w:rPr>
          <w:noProof/>
        </w:rPr>
        <w:instrText xml:space="preserve"> PAGEREF _Toc448741383 \h </w:instrText>
      </w:r>
      <w:r w:rsidR="00927113">
        <w:rPr>
          <w:noProof/>
        </w:rPr>
      </w:r>
      <w:r w:rsidR="00927113">
        <w:rPr>
          <w:noProof/>
        </w:rPr>
        <w:fldChar w:fldCharType="separate"/>
      </w:r>
      <w:r w:rsidR="006B1686">
        <w:rPr>
          <w:noProof/>
        </w:rPr>
        <w:t>45</w:t>
      </w:r>
      <w:r w:rsidR="00927113">
        <w:rPr>
          <w:noProof/>
        </w:rPr>
        <w:fldChar w:fldCharType="end"/>
      </w:r>
    </w:p>
    <w:p w:rsidR="00360671" w:rsidRDefault="00360671">
      <w:pPr>
        <w:pStyle w:val="TDC3"/>
        <w:tabs>
          <w:tab w:val="left" w:pos="1937"/>
        </w:tabs>
        <w:rPr>
          <w:rFonts w:asciiTheme="minorHAnsi" w:eastAsiaTheme="minorEastAsia" w:hAnsiTheme="minorHAnsi" w:cstheme="minorBidi"/>
          <w:noProof/>
          <w:sz w:val="22"/>
          <w:szCs w:val="22"/>
        </w:rPr>
      </w:pPr>
      <w:r>
        <w:rPr>
          <w:noProof/>
        </w:rPr>
        <w:t>Artículo 4.1.3</w:t>
      </w:r>
      <w:r>
        <w:rPr>
          <w:rFonts w:asciiTheme="minorHAnsi" w:eastAsiaTheme="minorEastAsia" w:hAnsiTheme="minorHAnsi" w:cstheme="minorBidi"/>
          <w:noProof/>
          <w:sz w:val="22"/>
          <w:szCs w:val="22"/>
        </w:rPr>
        <w:tab/>
      </w:r>
      <w:r>
        <w:rPr>
          <w:noProof/>
        </w:rPr>
        <w:t>Excavaciones de explanación, vaciado y emplazamiento de obras (excavaciones a cielo abierto)</w:t>
      </w:r>
      <w:r>
        <w:rPr>
          <w:noProof/>
        </w:rPr>
        <w:tab/>
      </w:r>
      <w:r w:rsidR="00927113">
        <w:rPr>
          <w:noProof/>
        </w:rPr>
        <w:fldChar w:fldCharType="begin"/>
      </w:r>
      <w:r>
        <w:rPr>
          <w:noProof/>
        </w:rPr>
        <w:instrText xml:space="preserve"> PAGEREF _Toc448741384 \h </w:instrText>
      </w:r>
      <w:r w:rsidR="00927113">
        <w:rPr>
          <w:noProof/>
        </w:rPr>
      </w:r>
      <w:r w:rsidR="00927113">
        <w:rPr>
          <w:noProof/>
        </w:rPr>
        <w:fldChar w:fldCharType="separate"/>
      </w:r>
      <w:r w:rsidR="006B1686">
        <w:rPr>
          <w:noProof/>
        </w:rPr>
        <w:t>47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4.1.4</w:t>
      </w:r>
      <w:r>
        <w:rPr>
          <w:rFonts w:asciiTheme="minorHAnsi" w:eastAsiaTheme="minorEastAsia" w:hAnsiTheme="minorHAnsi" w:cstheme="minorBidi"/>
          <w:noProof/>
          <w:sz w:val="22"/>
          <w:szCs w:val="22"/>
        </w:rPr>
        <w:tab/>
      </w:r>
      <w:r>
        <w:rPr>
          <w:noProof/>
        </w:rPr>
        <w:t>Excavaciones en zanjas y pozos</w:t>
      </w:r>
      <w:r>
        <w:rPr>
          <w:noProof/>
        </w:rPr>
        <w:tab/>
      </w:r>
      <w:r w:rsidR="00927113">
        <w:rPr>
          <w:noProof/>
        </w:rPr>
        <w:fldChar w:fldCharType="begin"/>
      </w:r>
      <w:r>
        <w:rPr>
          <w:noProof/>
        </w:rPr>
        <w:instrText xml:space="preserve"> PAGEREF _Toc448741385 \h </w:instrText>
      </w:r>
      <w:r w:rsidR="00927113">
        <w:rPr>
          <w:noProof/>
        </w:rPr>
      </w:r>
      <w:r w:rsidR="00927113">
        <w:rPr>
          <w:noProof/>
        </w:rPr>
        <w:fldChar w:fldCharType="separate"/>
      </w:r>
      <w:r w:rsidR="006B1686">
        <w:rPr>
          <w:noProof/>
        </w:rPr>
        <w:t>49</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4.1.5</w:t>
      </w:r>
      <w:r>
        <w:rPr>
          <w:rFonts w:asciiTheme="minorHAnsi" w:eastAsiaTheme="minorEastAsia" w:hAnsiTheme="minorHAnsi" w:cstheme="minorBidi"/>
          <w:noProof/>
          <w:sz w:val="22"/>
          <w:szCs w:val="22"/>
        </w:rPr>
        <w:tab/>
      </w:r>
      <w:r>
        <w:rPr>
          <w:noProof/>
        </w:rPr>
        <w:t>Excavaciones en mina</w:t>
      </w:r>
      <w:r>
        <w:rPr>
          <w:noProof/>
        </w:rPr>
        <w:tab/>
      </w:r>
      <w:r w:rsidR="00927113">
        <w:rPr>
          <w:noProof/>
        </w:rPr>
        <w:fldChar w:fldCharType="begin"/>
      </w:r>
      <w:r>
        <w:rPr>
          <w:noProof/>
        </w:rPr>
        <w:instrText xml:space="preserve"> PAGEREF _Toc448741386 \h </w:instrText>
      </w:r>
      <w:r w:rsidR="00927113">
        <w:rPr>
          <w:noProof/>
        </w:rPr>
      </w:r>
      <w:r w:rsidR="00927113">
        <w:rPr>
          <w:noProof/>
        </w:rPr>
        <w:fldChar w:fldCharType="separate"/>
      </w:r>
      <w:r w:rsidR="006B1686">
        <w:rPr>
          <w:noProof/>
        </w:rPr>
        <w:t>50</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4.1.6</w:t>
      </w:r>
      <w:r>
        <w:rPr>
          <w:rFonts w:asciiTheme="minorHAnsi" w:eastAsiaTheme="minorEastAsia" w:hAnsiTheme="minorHAnsi" w:cstheme="minorBidi"/>
          <w:noProof/>
          <w:sz w:val="22"/>
          <w:szCs w:val="22"/>
        </w:rPr>
        <w:tab/>
      </w:r>
      <w:r>
        <w:rPr>
          <w:noProof/>
        </w:rPr>
        <w:t>Entibaciones</w:t>
      </w:r>
      <w:r>
        <w:rPr>
          <w:noProof/>
        </w:rPr>
        <w:tab/>
      </w:r>
      <w:r w:rsidR="00927113">
        <w:rPr>
          <w:noProof/>
        </w:rPr>
        <w:fldChar w:fldCharType="begin"/>
      </w:r>
      <w:r>
        <w:rPr>
          <w:noProof/>
        </w:rPr>
        <w:instrText xml:space="preserve"> PAGEREF _Toc448741387 \h </w:instrText>
      </w:r>
      <w:r w:rsidR="00927113">
        <w:rPr>
          <w:noProof/>
        </w:rPr>
      </w:r>
      <w:r w:rsidR="00927113">
        <w:rPr>
          <w:noProof/>
        </w:rPr>
        <w:fldChar w:fldCharType="separate"/>
      </w:r>
      <w:r w:rsidR="006B1686">
        <w:rPr>
          <w:noProof/>
        </w:rPr>
        <w:t>52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4.1.7</w:t>
      </w:r>
      <w:r>
        <w:rPr>
          <w:rFonts w:asciiTheme="minorHAnsi" w:eastAsiaTheme="minorEastAsia" w:hAnsiTheme="minorHAnsi" w:cstheme="minorBidi"/>
          <w:noProof/>
          <w:sz w:val="22"/>
          <w:szCs w:val="22"/>
        </w:rPr>
        <w:tab/>
      </w:r>
      <w:r>
        <w:rPr>
          <w:noProof/>
        </w:rPr>
        <w:t>Agotamientos</w:t>
      </w:r>
      <w:r>
        <w:rPr>
          <w:noProof/>
        </w:rPr>
        <w:tab/>
      </w:r>
      <w:r w:rsidR="00927113">
        <w:rPr>
          <w:noProof/>
        </w:rPr>
        <w:fldChar w:fldCharType="begin"/>
      </w:r>
      <w:r>
        <w:rPr>
          <w:noProof/>
        </w:rPr>
        <w:instrText xml:space="preserve"> PAGEREF _Toc448741388 \h </w:instrText>
      </w:r>
      <w:r w:rsidR="00927113">
        <w:rPr>
          <w:noProof/>
        </w:rPr>
      </w:r>
      <w:r w:rsidR="00927113">
        <w:rPr>
          <w:noProof/>
        </w:rPr>
        <w:fldChar w:fldCharType="separate"/>
      </w:r>
      <w:r w:rsidR="006B1686">
        <w:rPr>
          <w:noProof/>
        </w:rPr>
        <w:t>53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4.1.8</w:t>
      </w:r>
      <w:r>
        <w:rPr>
          <w:rFonts w:asciiTheme="minorHAnsi" w:eastAsiaTheme="minorEastAsia" w:hAnsiTheme="minorHAnsi" w:cstheme="minorBidi"/>
          <w:noProof/>
          <w:sz w:val="22"/>
          <w:szCs w:val="22"/>
        </w:rPr>
        <w:tab/>
      </w:r>
      <w:r>
        <w:rPr>
          <w:noProof/>
        </w:rPr>
        <w:t>Transporte a vertedero</w:t>
      </w:r>
      <w:r>
        <w:rPr>
          <w:noProof/>
        </w:rPr>
        <w:tab/>
      </w:r>
      <w:r w:rsidR="00927113">
        <w:rPr>
          <w:noProof/>
        </w:rPr>
        <w:fldChar w:fldCharType="begin"/>
      </w:r>
      <w:r>
        <w:rPr>
          <w:noProof/>
        </w:rPr>
        <w:instrText xml:space="preserve"> PAGEREF _Toc448741389 \h </w:instrText>
      </w:r>
      <w:r w:rsidR="00927113">
        <w:rPr>
          <w:noProof/>
        </w:rPr>
      </w:r>
      <w:r w:rsidR="00927113">
        <w:rPr>
          <w:noProof/>
        </w:rPr>
        <w:fldChar w:fldCharType="separate"/>
      </w:r>
      <w:r w:rsidR="006B1686">
        <w:rPr>
          <w:noProof/>
        </w:rPr>
        <w:t>53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4.1.9</w:t>
      </w:r>
      <w:r>
        <w:rPr>
          <w:rFonts w:asciiTheme="minorHAnsi" w:eastAsiaTheme="minorEastAsia" w:hAnsiTheme="minorHAnsi" w:cstheme="minorBidi"/>
          <w:noProof/>
          <w:sz w:val="22"/>
          <w:szCs w:val="22"/>
        </w:rPr>
        <w:tab/>
      </w:r>
      <w:r>
        <w:rPr>
          <w:noProof/>
        </w:rPr>
        <w:t>Camas de apoyo</w:t>
      </w:r>
      <w:r>
        <w:rPr>
          <w:noProof/>
        </w:rPr>
        <w:tab/>
      </w:r>
      <w:r w:rsidR="00927113">
        <w:rPr>
          <w:noProof/>
        </w:rPr>
        <w:fldChar w:fldCharType="begin"/>
      </w:r>
      <w:r>
        <w:rPr>
          <w:noProof/>
        </w:rPr>
        <w:instrText xml:space="preserve"> PAGEREF _Toc448741390 \h </w:instrText>
      </w:r>
      <w:r w:rsidR="00927113">
        <w:rPr>
          <w:noProof/>
        </w:rPr>
      </w:r>
      <w:r w:rsidR="00927113">
        <w:rPr>
          <w:noProof/>
        </w:rPr>
        <w:fldChar w:fldCharType="separate"/>
      </w:r>
      <w:r w:rsidR="006B1686">
        <w:rPr>
          <w:noProof/>
        </w:rPr>
        <w:t>55</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lastRenderedPageBreak/>
        <w:t>Artículo 4.1.10</w:t>
      </w:r>
      <w:r>
        <w:rPr>
          <w:rFonts w:asciiTheme="minorHAnsi" w:eastAsiaTheme="minorEastAsia" w:hAnsiTheme="minorHAnsi" w:cstheme="minorBidi"/>
          <w:noProof/>
          <w:sz w:val="22"/>
          <w:szCs w:val="22"/>
        </w:rPr>
        <w:tab/>
      </w:r>
      <w:r>
        <w:rPr>
          <w:noProof/>
        </w:rPr>
        <w:t>Terraplenes, pedraplenes y rellenos</w:t>
      </w:r>
      <w:r>
        <w:rPr>
          <w:noProof/>
        </w:rPr>
        <w:tab/>
      </w:r>
      <w:r w:rsidR="00927113">
        <w:rPr>
          <w:noProof/>
        </w:rPr>
        <w:fldChar w:fldCharType="begin"/>
      </w:r>
      <w:r>
        <w:rPr>
          <w:noProof/>
        </w:rPr>
        <w:instrText xml:space="preserve"> PAGEREF _Toc448741391 \h </w:instrText>
      </w:r>
      <w:r w:rsidR="00927113">
        <w:rPr>
          <w:noProof/>
        </w:rPr>
      </w:r>
      <w:r w:rsidR="00927113">
        <w:rPr>
          <w:noProof/>
        </w:rPr>
        <w:fldChar w:fldCharType="separate"/>
      </w:r>
      <w:r w:rsidR="006B1686">
        <w:rPr>
          <w:noProof/>
        </w:rPr>
        <w:t>56</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4.1.11</w:t>
      </w:r>
      <w:r>
        <w:rPr>
          <w:rFonts w:asciiTheme="minorHAnsi" w:eastAsiaTheme="minorEastAsia" w:hAnsiTheme="minorHAnsi" w:cstheme="minorBidi"/>
          <w:noProof/>
          <w:sz w:val="22"/>
          <w:szCs w:val="22"/>
        </w:rPr>
        <w:tab/>
      </w:r>
      <w:r>
        <w:rPr>
          <w:noProof/>
        </w:rPr>
        <w:t>Escollera de piedras sueltas</w:t>
      </w:r>
      <w:r>
        <w:rPr>
          <w:noProof/>
        </w:rPr>
        <w:tab/>
      </w:r>
      <w:r w:rsidR="00927113">
        <w:rPr>
          <w:noProof/>
        </w:rPr>
        <w:fldChar w:fldCharType="begin"/>
      </w:r>
      <w:r>
        <w:rPr>
          <w:noProof/>
        </w:rPr>
        <w:instrText xml:space="preserve"> PAGEREF _Toc448741392 \h </w:instrText>
      </w:r>
      <w:r w:rsidR="00927113">
        <w:rPr>
          <w:noProof/>
        </w:rPr>
      </w:r>
      <w:r w:rsidR="00927113">
        <w:rPr>
          <w:noProof/>
        </w:rPr>
        <w:fldChar w:fldCharType="separate"/>
      </w:r>
      <w:r w:rsidR="006B1686">
        <w:rPr>
          <w:noProof/>
        </w:rPr>
        <w:t>58</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4.1.12</w:t>
      </w:r>
      <w:r>
        <w:rPr>
          <w:rFonts w:asciiTheme="minorHAnsi" w:eastAsiaTheme="minorEastAsia" w:hAnsiTheme="minorHAnsi" w:cstheme="minorBidi"/>
          <w:noProof/>
          <w:sz w:val="22"/>
          <w:szCs w:val="22"/>
        </w:rPr>
        <w:tab/>
      </w:r>
      <w:r>
        <w:rPr>
          <w:noProof/>
        </w:rPr>
        <w:t>Muro de gaviones metálicos</w:t>
      </w:r>
      <w:r>
        <w:rPr>
          <w:noProof/>
        </w:rPr>
        <w:tab/>
      </w:r>
      <w:r w:rsidR="00927113">
        <w:rPr>
          <w:noProof/>
        </w:rPr>
        <w:fldChar w:fldCharType="begin"/>
      </w:r>
      <w:r>
        <w:rPr>
          <w:noProof/>
        </w:rPr>
        <w:instrText xml:space="preserve"> PAGEREF _Toc448741393 \h </w:instrText>
      </w:r>
      <w:r w:rsidR="00927113">
        <w:rPr>
          <w:noProof/>
        </w:rPr>
      </w:r>
      <w:r w:rsidR="00927113">
        <w:rPr>
          <w:noProof/>
        </w:rPr>
        <w:fldChar w:fldCharType="separate"/>
      </w:r>
      <w:r w:rsidR="006B1686">
        <w:rPr>
          <w:noProof/>
        </w:rPr>
        <w:t>60</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4.1.13</w:t>
      </w:r>
      <w:r>
        <w:rPr>
          <w:rFonts w:asciiTheme="minorHAnsi" w:eastAsiaTheme="minorEastAsia" w:hAnsiTheme="minorHAnsi" w:cstheme="minorBidi"/>
          <w:noProof/>
          <w:sz w:val="22"/>
          <w:szCs w:val="22"/>
        </w:rPr>
        <w:tab/>
      </w:r>
      <w:r>
        <w:rPr>
          <w:noProof/>
        </w:rPr>
        <w:t>Relleno localizado en trasdós de muros</w:t>
      </w:r>
      <w:r>
        <w:rPr>
          <w:noProof/>
        </w:rPr>
        <w:tab/>
      </w:r>
      <w:r w:rsidR="00927113">
        <w:rPr>
          <w:noProof/>
        </w:rPr>
        <w:fldChar w:fldCharType="begin"/>
      </w:r>
      <w:r>
        <w:rPr>
          <w:noProof/>
        </w:rPr>
        <w:instrText xml:space="preserve"> PAGEREF _Toc448741394 \h </w:instrText>
      </w:r>
      <w:r w:rsidR="00927113">
        <w:rPr>
          <w:noProof/>
        </w:rPr>
      </w:r>
      <w:r w:rsidR="00927113">
        <w:rPr>
          <w:noProof/>
        </w:rPr>
        <w:fldChar w:fldCharType="separate"/>
      </w:r>
      <w:r w:rsidR="006B1686">
        <w:rPr>
          <w:noProof/>
        </w:rPr>
        <w:t>61</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4.1.14</w:t>
      </w:r>
      <w:r>
        <w:rPr>
          <w:rFonts w:asciiTheme="minorHAnsi" w:eastAsiaTheme="minorEastAsia" w:hAnsiTheme="minorHAnsi" w:cstheme="minorBidi"/>
          <w:noProof/>
          <w:sz w:val="22"/>
          <w:szCs w:val="22"/>
        </w:rPr>
        <w:tab/>
      </w:r>
      <w:r>
        <w:rPr>
          <w:noProof/>
        </w:rPr>
        <w:t>Geotextiles</w:t>
      </w:r>
      <w:r>
        <w:rPr>
          <w:noProof/>
        </w:rPr>
        <w:tab/>
      </w:r>
      <w:r w:rsidR="00927113">
        <w:rPr>
          <w:noProof/>
        </w:rPr>
        <w:fldChar w:fldCharType="begin"/>
      </w:r>
      <w:r>
        <w:rPr>
          <w:noProof/>
        </w:rPr>
        <w:instrText xml:space="preserve"> PAGEREF _Toc448741395 \h </w:instrText>
      </w:r>
      <w:r w:rsidR="00927113">
        <w:rPr>
          <w:noProof/>
        </w:rPr>
      </w:r>
      <w:r w:rsidR="00927113">
        <w:rPr>
          <w:noProof/>
        </w:rPr>
        <w:fldChar w:fldCharType="separate"/>
      </w:r>
      <w:r w:rsidR="006B1686">
        <w:rPr>
          <w:noProof/>
        </w:rPr>
        <w:t>62</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4.1.15</w:t>
      </w:r>
      <w:r>
        <w:rPr>
          <w:rFonts w:asciiTheme="minorHAnsi" w:eastAsiaTheme="minorEastAsia" w:hAnsiTheme="minorHAnsi" w:cstheme="minorBidi"/>
          <w:noProof/>
          <w:sz w:val="22"/>
          <w:szCs w:val="22"/>
        </w:rPr>
        <w:tab/>
      </w:r>
      <w:r>
        <w:rPr>
          <w:noProof/>
        </w:rPr>
        <w:t>Banda de señalización</w:t>
      </w:r>
      <w:r>
        <w:rPr>
          <w:noProof/>
        </w:rPr>
        <w:tab/>
      </w:r>
      <w:r w:rsidR="00927113">
        <w:rPr>
          <w:noProof/>
        </w:rPr>
        <w:fldChar w:fldCharType="begin"/>
      </w:r>
      <w:r>
        <w:rPr>
          <w:noProof/>
        </w:rPr>
        <w:instrText xml:space="preserve"> PAGEREF _Toc448741396 \h </w:instrText>
      </w:r>
      <w:r w:rsidR="00927113">
        <w:rPr>
          <w:noProof/>
        </w:rPr>
      </w:r>
      <w:r w:rsidR="00927113">
        <w:rPr>
          <w:noProof/>
        </w:rPr>
        <w:fldChar w:fldCharType="separate"/>
      </w:r>
      <w:r w:rsidR="006B1686">
        <w:rPr>
          <w:noProof/>
        </w:rPr>
        <w:t>63</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4.2</w:t>
      </w:r>
      <w:r>
        <w:rPr>
          <w:rFonts w:asciiTheme="minorHAnsi" w:eastAsiaTheme="minorEastAsia" w:hAnsiTheme="minorHAnsi" w:cstheme="minorBidi"/>
          <w:noProof/>
          <w:szCs w:val="22"/>
        </w:rPr>
        <w:tab/>
      </w:r>
      <w:r w:rsidRPr="00DC18DE">
        <w:rPr>
          <w:noProof/>
        </w:rPr>
        <w:t>ESTRUCTURAS DE HORMIGÓN</w:t>
      </w:r>
      <w:r>
        <w:rPr>
          <w:noProof/>
        </w:rPr>
        <w:tab/>
      </w:r>
      <w:r w:rsidR="00927113">
        <w:rPr>
          <w:noProof/>
        </w:rPr>
        <w:fldChar w:fldCharType="begin"/>
      </w:r>
      <w:r>
        <w:rPr>
          <w:noProof/>
        </w:rPr>
        <w:instrText xml:space="preserve"> PAGEREF _Toc448741397 \h </w:instrText>
      </w:r>
      <w:r w:rsidR="00927113">
        <w:rPr>
          <w:noProof/>
        </w:rPr>
      </w:r>
      <w:r w:rsidR="00927113">
        <w:rPr>
          <w:noProof/>
        </w:rPr>
        <w:fldChar w:fldCharType="separate"/>
      </w:r>
      <w:r w:rsidR="006B1686">
        <w:rPr>
          <w:noProof/>
        </w:rPr>
        <w:t>63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4.2.1</w:t>
      </w:r>
      <w:r>
        <w:rPr>
          <w:rFonts w:asciiTheme="minorHAnsi" w:eastAsiaTheme="minorEastAsia" w:hAnsiTheme="minorHAnsi" w:cstheme="minorBidi"/>
          <w:noProof/>
          <w:sz w:val="22"/>
          <w:szCs w:val="22"/>
        </w:rPr>
        <w:tab/>
      </w:r>
      <w:r>
        <w:rPr>
          <w:noProof/>
        </w:rPr>
        <w:t>Cimbras, encofrados y moldes</w:t>
      </w:r>
      <w:r>
        <w:rPr>
          <w:noProof/>
        </w:rPr>
        <w:tab/>
      </w:r>
      <w:r w:rsidR="00927113">
        <w:rPr>
          <w:noProof/>
        </w:rPr>
        <w:fldChar w:fldCharType="begin"/>
      </w:r>
      <w:r>
        <w:rPr>
          <w:noProof/>
        </w:rPr>
        <w:instrText xml:space="preserve"> PAGEREF _Toc448741398 \h </w:instrText>
      </w:r>
      <w:r w:rsidR="00927113">
        <w:rPr>
          <w:noProof/>
        </w:rPr>
      </w:r>
      <w:r w:rsidR="00927113">
        <w:rPr>
          <w:noProof/>
        </w:rPr>
        <w:fldChar w:fldCharType="separate"/>
      </w:r>
      <w:r w:rsidR="006B1686">
        <w:rPr>
          <w:noProof/>
        </w:rPr>
        <w:t>63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4.2.2</w:t>
      </w:r>
      <w:r>
        <w:rPr>
          <w:rFonts w:asciiTheme="minorHAnsi" w:eastAsiaTheme="minorEastAsia" w:hAnsiTheme="minorHAnsi" w:cstheme="minorBidi"/>
          <w:noProof/>
          <w:sz w:val="22"/>
          <w:szCs w:val="22"/>
        </w:rPr>
        <w:tab/>
      </w:r>
      <w:r>
        <w:rPr>
          <w:noProof/>
        </w:rPr>
        <w:t>Acero para armaduras</w:t>
      </w:r>
      <w:r>
        <w:rPr>
          <w:noProof/>
        </w:rPr>
        <w:tab/>
      </w:r>
      <w:r w:rsidR="00927113">
        <w:rPr>
          <w:noProof/>
        </w:rPr>
        <w:fldChar w:fldCharType="begin"/>
      </w:r>
      <w:r>
        <w:rPr>
          <w:noProof/>
        </w:rPr>
        <w:instrText xml:space="preserve"> PAGEREF _Toc448741399 \h </w:instrText>
      </w:r>
      <w:r w:rsidR="00927113">
        <w:rPr>
          <w:noProof/>
        </w:rPr>
      </w:r>
      <w:r w:rsidR="00927113">
        <w:rPr>
          <w:noProof/>
        </w:rPr>
        <w:fldChar w:fldCharType="separate"/>
      </w:r>
      <w:r w:rsidR="006B1686">
        <w:rPr>
          <w:noProof/>
        </w:rPr>
        <w:t>64</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4.2.3</w:t>
      </w:r>
      <w:r>
        <w:rPr>
          <w:rFonts w:asciiTheme="minorHAnsi" w:eastAsiaTheme="minorEastAsia" w:hAnsiTheme="minorHAnsi" w:cstheme="minorBidi"/>
          <w:noProof/>
          <w:sz w:val="22"/>
          <w:szCs w:val="22"/>
        </w:rPr>
        <w:tab/>
      </w:r>
      <w:r>
        <w:rPr>
          <w:noProof/>
        </w:rPr>
        <w:t>Hormigones y morteros</w:t>
      </w:r>
      <w:r>
        <w:rPr>
          <w:noProof/>
        </w:rPr>
        <w:tab/>
      </w:r>
      <w:r w:rsidR="00927113">
        <w:rPr>
          <w:noProof/>
        </w:rPr>
        <w:fldChar w:fldCharType="begin"/>
      </w:r>
      <w:r>
        <w:rPr>
          <w:noProof/>
        </w:rPr>
        <w:instrText xml:space="preserve"> PAGEREF _Toc448741400 \h </w:instrText>
      </w:r>
      <w:r w:rsidR="00927113">
        <w:rPr>
          <w:noProof/>
        </w:rPr>
      </w:r>
      <w:r w:rsidR="00927113">
        <w:rPr>
          <w:noProof/>
        </w:rPr>
        <w:fldChar w:fldCharType="separate"/>
      </w:r>
      <w:r w:rsidR="006B1686">
        <w:rPr>
          <w:noProof/>
        </w:rPr>
        <w:t>65</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4.2.4</w:t>
      </w:r>
      <w:r>
        <w:rPr>
          <w:rFonts w:asciiTheme="minorHAnsi" w:eastAsiaTheme="minorEastAsia" w:hAnsiTheme="minorHAnsi" w:cstheme="minorBidi"/>
          <w:noProof/>
          <w:sz w:val="22"/>
          <w:szCs w:val="22"/>
        </w:rPr>
        <w:tab/>
      </w:r>
      <w:r>
        <w:rPr>
          <w:noProof/>
        </w:rPr>
        <w:t>Pilotes de hormigón armado moldeados “in situ”</w:t>
      </w:r>
      <w:r>
        <w:rPr>
          <w:noProof/>
        </w:rPr>
        <w:tab/>
      </w:r>
      <w:r w:rsidR="00927113">
        <w:rPr>
          <w:noProof/>
        </w:rPr>
        <w:fldChar w:fldCharType="begin"/>
      </w:r>
      <w:r>
        <w:rPr>
          <w:noProof/>
        </w:rPr>
        <w:instrText xml:space="preserve"> PAGEREF _Toc448741401 \h </w:instrText>
      </w:r>
      <w:r w:rsidR="00927113">
        <w:rPr>
          <w:noProof/>
        </w:rPr>
      </w:r>
      <w:r w:rsidR="00927113">
        <w:rPr>
          <w:noProof/>
        </w:rPr>
        <w:fldChar w:fldCharType="separate"/>
      </w:r>
      <w:r w:rsidR="006B1686">
        <w:rPr>
          <w:noProof/>
        </w:rPr>
        <w:t>68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4.2.5</w:t>
      </w:r>
      <w:r>
        <w:rPr>
          <w:rFonts w:asciiTheme="minorHAnsi" w:eastAsiaTheme="minorEastAsia" w:hAnsiTheme="minorHAnsi" w:cstheme="minorBidi"/>
          <w:noProof/>
          <w:sz w:val="22"/>
          <w:szCs w:val="22"/>
        </w:rPr>
        <w:tab/>
      </w:r>
      <w:r>
        <w:rPr>
          <w:noProof/>
        </w:rPr>
        <w:t>Pilotes prefabricados</w:t>
      </w:r>
      <w:r>
        <w:rPr>
          <w:noProof/>
        </w:rPr>
        <w:tab/>
      </w:r>
      <w:r w:rsidR="00927113">
        <w:rPr>
          <w:noProof/>
        </w:rPr>
        <w:fldChar w:fldCharType="begin"/>
      </w:r>
      <w:r>
        <w:rPr>
          <w:noProof/>
        </w:rPr>
        <w:instrText xml:space="preserve"> PAGEREF _Toc448741402 \h </w:instrText>
      </w:r>
      <w:r w:rsidR="00927113">
        <w:rPr>
          <w:noProof/>
        </w:rPr>
      </w:r>
      <w:r w:rsidR="00927113">
        <w:rPr>
          <w:noProof/>
        </w:rPr>
        <w:fldChar w:fldCharType="separate"/>
      </w:r>
      <w:r w:rsidR="006B1686">
        <w:rPr>
          <w:noProof/>
        </w:rPr>
        <w:t>77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4.2.6</w:t>
      </w:r>
      <w:r>
        <w:rPr>
          <w:rFonts w:asciiTheme="minorHAnsi" w:eastAsiaTheme="minorEastAsia" w:hAnsiTheme="minorHAnsi" w:cstheme="minorBidi"/>
          <w:noProof/>
          <w:sz w:val="22"/>
          <w:szCs w:val="22"/>
        </w:rPr>
        <w:tab/>
      </w:r>
      <w:r>
        <w:rPr>
          <w:noProof/>
        </w:rPr>
        <w:t>Micropilotes</w:t>
      </w:r>
      <w:r>
        <w:rPr>
          <w:noProof/>
        </w:rPr>
        <w:tab/>
      </w:r>
      <w:r w:rsidR="00927113">
        <w:rPr>
          <w:noProof/>
        </w:rPr>
        <w:fldChar w:fldCharType="begin"/>
      </w:r>
      <w:r>
        <w:rPr>
          <w:noProof/>
        </w:rPr>
        <w:instrText xml:space="preserve"> PAGEREF _Toc448741403 \h </w:instrText>
      </w:r>
      <w:r w:rsidR="00927113">
        <w:rPr>
          <w:noProof/>
        </w:rPr>
      </w:r>
      <w:r w:rsidR="00927113">
        <w:rPr>
          <w:noProof/>
        </w:rPr>
        <w:fldChar w:fldCharType="separate"/>
      </w:r>
      <w:r w:rsidR="006B1686">
        <w:rPr>
          <w:noProof/>
        </w:rPr>
        <w:t>80</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4.2.7</w:t>
      </w:r>
      <w:r>
        <w:rPr>
          <w:rFonts w:asciiTheme="minorHAnsi" w:eastAsiaTheme="minorEastAsia" w:hAnsiTheme="minorHAnsi" w:cstheme="minorBidi"/>
          <w:noProof/>
          <w:sz w:val="22"/>
          <w:szCs w:val="22"/>
        </w:rPr>
        <w:tab/>
      </w:r>
      <w:r>
        <w:rPr>
          <w:noProof/>
        </w:rPr>
        <w:t>Muros pantalla</w:t>
      </w:r>
      <w:r>
        <w:rPr>
          <w:noProof/>
        </w:rPr>
        <w:tab/>
      </w:r>
      <w:r w:rsidR="00927113">
        <w:rPr>
          <w:noProof/>
        </w:rPr>
        <w:fldChar w:fldCharType="begin"/>
      </w:r>
      <w:r>
        <w:rPr>
          <w:noProof/>
        </w:rPr>
        <w:instrText xml:space="preserve"> PAGEREF _Toc448741404 \h </w:instrText>
      </w:r>
      <w:r w:rsidR="00927113">
        <w:rPr>
          <w:noProof/>
        </w:rPr>
      </w:r>
      <w:r w:rsidR="00927113">
        <w:rPr>
          <w:noProof/>
        </w:rPr>
        <w:fldChar w:fldCharType="separate"/>
      </w:r>
      <w:r w:rsidR="006B1686">
        <w:rPr>
          <w:noProof/>
        </w:rPr>
        <w:t>85</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4.2.8</w:t>
      </w:r>
      <w:r>
        <w:rPr>
          <w:rFonts w:asciiTheme="minorHAnsi" w:eastAsiaTheme="minorEastAsia" w:hAnsiTheme="minorHAnsi" w:cstheme="minorBidi"/>
          <w:noProof/>
          <w:sz w:val="22"/>
          <w:szCs w:val="22"/>
        </w:rPr>
        <w:tab/>
      </w:r>
      <w:r>
        <w:rPr>
          <w:noProof/>
        </w:rPr>
        <w:t>Juntas en estructuras de hormigón</w:t>
      </w:r>
      <w:r>
        <w:rPr>
          <w:noProof/>
        </w:rPr>
        <w:tab/>
      </w:r>
      <w:r w:rsidR="00927113">
        <w:rPr>
          <w:noProof/>
        </w:rPr>
        <w:fldChar w:fldCharType="begin"/>
      </w:r>
      <w:r>
        <w:rPr>
          <w:noProof/>
        </w:rPr>
        <w:instrText xml:space="preserve"> PAGEREF _Toc448741405 \h </w:instrText>
      </w:r>
      <w:r w:rsidR="00927113">
        <w:rPr>
          <w:noProof/>
        </w:rPr>
      </w:r>
      <w:r w:rsidR="00927113">
        <w:rPr>
          <w:noProof/>
        </w:rPr>
        <w:fldChar w:fldCharType="separate"/>
      </w:r>
      <w:r w:rsidR="006B1686">
        <w:rPr>
          <w:noProof/>
        </w:rPr>
        <w:t>91</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4.2.9</w:t>
      </w:r>
      <w:r>
        <w:rPr>
          <w:rFonts w:asciiTheme="minorHAnsi" w:eastAsiaTheme="minorEastAsia" w:hAnsiTheme="minorHAnsi" w:cstheme="minorBidi"/>
          <w:noProof/>
          <w:sz w:val="22"/>
          <w:szCs w:val="22"/>
        </w:rPr>
        <w:tab/>
      </w:r>
      <w:r>
        <w:rPr>
          <w:noProof/>
        </w:rPr>
        <w:t>Acabados de superficies</w:t>
      </w:r>
      <w:r>
        <w:rPr>
          <w:noProof/>
        </w:rPr>
        <w:tab/>
      </w:r>
      <w:r w:rsidR="00927113">
        <w:rPr>
          <w:noProof/>
        </w:rPr>
        <w:fldChar w:fldCharType="begin"/>
      </w:r>
      <w:r>
        <w:rPr>
          <w:noProof/>
        </w:rPr>
        <w:instrText xml:space="preserve"> PAGEREF _Toc448741406 \h </w:instrText>
      </w:r>
      <w:r w:rsidR="00927113">
        <w:rPr>
          <w:noProof/>
        </w:rPr>
      </w:r>
      <w:r w:rsidR="00927113">
        <w:rPr>
          <w:noProof/>
        </w:rPr>
        <w:fldChar w:fldCharType="separate"/>
      </w:r>
      <w:r w:rsidR="006B1686">
        <w:rPr>
          <w:noProof/>
        </w:rPr>
        <w:t>93</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4.2.10</w:t>
      </w:r>
      <w:r>
        <w:rPr>
          <w:rFonts w:asciiTheme="minorHAnsi" w:eastAsiaTheme="minorEastAsia" w:hAnsiTheme="minorHAnsi" w:cstheme="minorBidi"/>
          <w:noProof/>
          <w:sz w:val="22"/>
          <w:szCs w:val="22"/>
        </w:rPr>
        <w:tab/>
      </w:r>
      <w:r>
        <w:rPr>
          <w:noProof/>
        </w:rPr>
        <w:t>Impermeabilización</w:t>
      </w:r>
      <w:r>
        <w:rPr>
          <w:noProof/>
        </w:rPr>
        <w:tab/>
      </w:r>
      <w:r w:rsidR="00927113">
        <w:rPr>
          <w:noProof/>
        </w:rPr>
        <w:fldChar w:fldCharType="begin"/>
      </w:r>
      <w:r>
        <w:rPr>
          <w:noProof/>
        </w:rPr>
        <w:instrText xml:space="preserve"> PAGEREF _Toc448741407 \h </w:instrText>
      </w:r>
      <w:r w:rsidR="00927113">
        <w:rPr>
          <w:noProof/>
        </w:rPr>
      </w:r>
      <w:r w:rsidR="00927113">
        <w:rPr>
          <w:noProof/>
        </w:rPr>
        <w:fldChar w:fldCharType="separate"/>
      </w:r>
      <w:r w:rsidR="006B1686">
        <w:rPr>
          <w:noProof/>
        </w:rPr>
        <w:t>96</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4.2.11</w:t>
      </w:r>
      <w:r>
        <w:rPr>
          <w:rFonts w:asciiTheme="minorHAnsi" w:eastAsiaTheme="minorEastAsia" w:hAnsiTheme="minorHAnsi" w:cstheme="minorBidi"/>
          <w:noProof/>
          <w:sz w:val="22"/>
          <w:szCs w:val="22"/>
        </w:rPr>
        <w:tab/>
      </w:r>
      <w:r>
        <w:rPr>
          <w:noProof/>
        </w:rPr>
        <w:t>Prueba de estanqueidad de muros y solera de las estructuras de hormigón</w:t>
      </w:r>
      <w:r>
        <w:rPr>
          <w:noProof/>
        </w:rPr>
        <w:tab/>
      </w:r>
      <w:r w:rsidR="00927113">
        <w:rPr>
          <w:noProof/>
        </w:rPr>
        <w:fldChar w:fldCharType="begin"/>
      </w:r>
      <w:r>
        <w:rPr>
          <w:noProof/>
        </w:rPr>
        <w:instrText xml:space="preserve"> PAGEREF _Toc448741408 \h </w:instrText>
      </w:r>
      <w:r w:rsidR="00927113">
        <w:rPr>
          <w:noProof/>
        </w:rPr>
      </w:r>
      <w:r w:rsidR="00927113">
        <w:rPr>
          <w:noProof/>
        </w:rPr>
        <w:fldChar w:fldCharType="separate"/>
      </w:r>
      <w:r w:rsidR="006B1686">
        <w:rPr>
          <w:noProof/>
        </w:rPr>
        <w:t>98</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4.2.12</w:t>
      </w:r>
      <w:r>
        <w:rPr>
          <w:rFonts w:asciiTheme="minorHAnsi" w:eastAsiaTheme="minorEastAsia" w:hAnsiTheme="minorHAnsi" w:cstheme="minorBidi"/>
          <w:noProof/>
          <w:sz w:val="22"/>
          <w:szCs w:val="22"/>
        </w:rPr>
        <w:tab/>
      </w:r>
      <w:r>
        <w:rPr>
          <w:noProof/>
        </w:rPr>
        <w:t>Prueba de estanqueidad cubiertas de depósitos</w:t>
      </w:r>
      <w:r>
        <w:rPr>
          <w:noProof/>
        </w:rPr>
        <w:tab/>
      </w:r>
      <w:r w:rsidR="00927113">
        <w:rPr>
          <w:noProof/>
        </w:rPr>
        <w:fldChar w:fldCharType="begin"/>
      </w:r>
      <w:r>
        <w:rPr>
          <w:noProof/>
        </w:rPr>
        <w:instrText xml:space="preserve"> PAGEREF _Toc448741409 \h </w:instrText>
      </w:r>
      <w:r w:rsidR="00927113">
        <w:rPr>
          <w:noProof/>
        </w:rPr>
      </w:r>
      <w:r w:rsidR="00927113">
        <w:rPr>
          <w:noProof/>
        </w:rPr>
        <w:fldChar w:fldCharType="separate"/>
      </w:r>
      <w:r w:rsidR="006B1686">
        <w:rPr>
          <w:noProof/>
        </w:rPr>
        <w:t>99</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4.3</w:t>
      </w:r>
      <w:r>
        <w:rPr>
          <w:rFonts w:asciiTheme="minorHAnsi" w:eastAsiaTheme="minorEastAsia" w:hAnsiTheme="minorHAnsi" w:cstheme="minorBidi"/>
          <w:noProof/>
          <w:szCs w:val="22"/>
        </w:rPr>
        <w:tab/>
      </w:r>
      <w:r w:rsidRPr="00DC18DE">
        <w:rPr>
          <w:noProof/>
        </w:rPr>
        <w:t>ESTRUCTURAS DE ACERO</w:t>
      </w:r>
      <w:r>
        <w:rPr>
          <w:noProof/>
        </w:rPr>
        <w:tab/>
      </w:r>
      <w:r w:rsidR="00927113">
        <w:rPr>
          <w:noProof/>
        </w:rPr>
        <w:fldChar w:fldCharType="begin"/>
      </w:r>
      <w:r>
        <w:rPr>
          <w:noProof/>
        </w:rPr>
        <w:instrText xml:space="preserve"> PAGEREF _Toc448741410 \h </w:instrText>
      </w:r>
      <w:r w:rsidR="00927113">
        <w:rPr>
          <w:noProof/>
        </w:rPr>
      </w:r>
      <w:r w:rsidR="00927113">
        <w:rPr>
          <w:noProof/>
        </w:rPr>
        <w:fldChar w:fldCharType="separate"/>
      </w:r>
      <w:r w:rsidR="006B1686">
        <w:rPr>
          <w:noProof/>
        </w:rPr>
        <w:t>100</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4.3.1</w:t>
      </w:r>
      <w:r>
        <w:rPr>
          <w:rFonts w:asciiTheme="minorHAnsi" w:eastAsiaTheme="minorEastAsia" w:hAnsiTheme="minorHAnsi" w:cstheme="minorBidi"/>
          <w:noProof/>
          <w:sz w:val="22"/>
          <w:szCs w:val="22"/>
        </w:rPr>
        <w:tab/>
      </w:r>
      <w:r>
        <w:rPr>
          <w:noProof/>
        </w:rPr>
        <w:t>Estructuras de acero</w:t>
      </w:r>
      <w:r>
        <w:rPr>
          <w:noProof/>
        </w:rPr>
        <w:tab/>
      </w:r>
      <w:r w:rsidR="00927113">
        <w:rPr>
          <w:noProof/>
        </w:rPr>
        <w:fldChar w:fldCharType="begin"/>
      </w:r>
      <w:r>
        <w:rPr>
          <w:noProof/>
        </w:rPr>
        <w:instrText xml:space="preserve"> PAGEREF _Toc448741411 \h </w:instrText>
      </w:r>
      <w:r w:rsidR="00927113">
        <w:rPr>
          <w:noProof/>
        </w:rPr>
      </w:r>
      <w:r w:rsidR="00927113">
        <w:rPr>
          <w:noProof/>
        </w:rPr>
        <w:fldChar w:fldCharType="separate"/>
      </w:r>
      <w:r w:rsidR="006B1686">
        <w:rPr>
          <w:noProof/>
        </w:rPr>
        <w:t>100</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4.4</w:t>
      </w:r>
      <w:r>
        <w:rPr>
          <w:rFonts w:asciiTheme="minorHAnsi" w:eastAsiaTheme="minorEastAsia" w:hAnsiTheme="minorHAnsi" w:cstheme="minorBidi"/>
          <w:noProof/>
          <w:szCs w:val="22"/>
        </w:rPr>
        <w:tab/>
      </w:r>
      <w:r w:rsidRPr="00DC18DE">
        <w:rPr>
          <w:noProof/>
        </w:rPr>
        <w:t>TUBERÍAS</w:t>
      </w:r>
      <w:r>
        <w:rPr>
          <w:noProof/>
        </w:rPr>
        <w:tab/>
      </w:r>
      <w:r w:rsidR="00927113">
        <w:rPr>
          <w:noProof/>
        </w:rPr>
        <w:fldChar w:fldCharType="begin"/>
      </w:r>
      <w:r>
        <w:rPr>
          <w:noProof/>
        </w:rPr>
        <w:instrText xml:space="preserve"> PAGEREF _Toc448741412 \h </w:instrText>
      </w:r>
      <w:r w:rsidR="00927113">
        <w:rPr>
          <w:noProof/>
        </w:rPr>
      </w:r>
      <w:r w:rsidR="00927113">
        <w:rPr>
          <w:noProof/>
        </w:rPr>
        <w:fldChar w:fldCharType="separate"/>
      </w:r>
      <w:r w:rsidR="006B1686">
        <w:rPr>
          <w:noProof/>
        </w:rPr>
        <w:t>101</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4.4.1</w:t>
      </w:r>
      <w:r>
        <w:rPr>
          <w:rFonts w:asciiTheme="minorHAnsi" w:eastAsiaTheme="minorEastAsia" w:hAnsiTheme="minorHAnsi" w:cstheme="minorBidi"/>
          <w:noProof/>
          <w:sz w:val="22"/>
          <w:szCs w:val="22"/>
        </w:rPr>
        <w:tab/>
      </w:r>
      <w:r>
        <w:rPr>
          <w:noProof/>
        </w:rPr>
        <w:t>Consideraciones constructivas</w:t>
      </w:r>
      <w:r>
        <w:rPr>
          <w:noProof/>
        </w:rPr>
        <w:tab/>
      </w:r>
      <w:r w:rsidR="00927113">
        <w:rPr>
          <w:noProof/>
        </w:rPr>
        <w:fldChar w:fldCharType="begin"/>
      </w:r>
      <w:r>
        <w:rPr>
          <w:noProof/>
        </w:rPr>
        <w:instrText xml:space="preserve"> PAGEREF _Toc448741413 \h </w:instrText>
      </w:r>
      <w:r w:rsidR="00927113">
        <w:rPr>
          <w:noProof/>
        </w:rPr>
      </w:r>
      <w:r w:rsidR="00927113">
        <w:rPr>
          <w:noProof/>
        </w:rPr>
        <w:fldChar w:fldCharType="separate"/>
      </w:r>
      <w:r w:rsidR="006B1686">
        <w:rPr>
          <w:noProof/>
        </w:rPr>
        <w:t>101</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4.4.2</w:t>
      </w:r>
      <w:r>
        <w:rPr>
          <w:rFonts w:asciiTheme="minorHAnsi" w:eastAsiaTheme="minorEastAsia" w:hAnsiTheme="minorHAnsi" w:cstheme="minorBidi"/>
          <w:noProof/>
          <w:sz w:val="22"/>
          <w:szCs w:val="22"/>
        </w:rPr>
        <w:tab/>
      </w:r>
      <w:r>
        <w:rPr>
          <w:noProof/>
        </w:rPr>
        <w:t>Tubería de hormigón armado</w:t>
      </w:r>
      <w:r>
        <w:rPr>
          <w:noProof/>
        </w:rPr>
        <w:tab/>
      </w:r>
      <w:r w:rsidR="00927113">
        <w:rPr>
          <w:noProof/>
        </w:rPr>
        <w:fldChar w:fldCharType="begin"/>
      </w:r>
      <w:r>
        <w:rPr>
          <w:noProof/>
        </w:rPr>
        <w:instrText xml:space="preserve"> PAGEREF _Toc448741414 \h </w:instrText>
      </w:r>
      <w:r w:rsidR="00927113">
        <w:rPr>
          <w:noProof/>
        </w:rPr>
      </w:r>
      <w:r w:rsidR="00927113">
        <w:rPr>
          <w:noProof/>
        </w:rPr>
        <w:fldChar w:fldCharType="separate"/>
      </w:r>
      <w:r w:rsidR="006B1686">
        <w:rPr>
          <w:noProof/>
        </w:rPr>
        <w:t>107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4.4.3</w:t>
      </w:r>
      <w:r>
        <w:rPr>
          <w:rFonts w:asciiTheme="minorHAnsi" w:eastAsiaTheme="minorEastAsia" w:hAnsiTheme="minorHAnsi" w:cstheme="minorBidi"/>
          <w:noProof/>
          <w:sz w:val="22"/>
          <w:szCs w:val="22"/>
        </w:rPr>
        <w:tab/>
      </w:r>
      <w:r>
        <w:rPr>
          <w:noProof/>
        </w:rPr>
        <w:t>Tubería de hormigón armado con camisa de chapa (H/C)</w:t>
      </w:r>
      <w:r>
        <w:rPr>
          <w:noProof/>
        </w:rPr>
        <w:tab/>
      </w:r>
      <w:r w:rsidR="00927113">
        <w:rPr>
          <w:noProof/>
        </w:rPr>
        <w:fldChar w:fldCharType="begin"/>
      </w:r>
      <w:r>
        <w:rPr>
          <w:noProof/>
        </w:rPr>
        <w:instrText xml:space="preserve"> PAGEREF _Toc448741415 \h </w:instrText>
      </w:r>
      <w:r w:rsidR="00927113">
        <w:rPr>
          <w:noProof/>
        </w:rPr>
      </w:r>
      <w:r w:rsidR="00927113">
        <w:rPr>
          <w:noProof/>
        </w:rPr>
        <w:fldChar w:fldCharType="separate"/>
      </w:r>
      <w:r w:rsidR="006B1686">
        <w:rPr>
          <w:noProof/>
        </w:rPr>
        <w:t>111</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4.4.4</w:t>
      </w:r>
      <w:r>
        <w:rPr>
          <w:rFonts w:asciiTheme="minorHAnsi" w:eastAsiaTheme="minorEastAsia" w:hAnsiTheme="minorHAnsi" w:cstheme="minorBidi"/>
          <w:noProof/>
          <w:sz w:val="22"/>
          <w:szCs w:val="22"/>
        </w:rPr>
        <w:tab/>
      </w:r>
      <w:r>
        <w:rPr>
          <w:noProof/>
        </w:rPr>
        <w:t>Tubería de hormigón pretensado con camisa de chapa</w:t>
      </w:r>
      <w:r>
        <w:rPr>
          <w:noProof/>
        </w:rPr>
        <w:tab/>
      </w:r>
      <w:r w:rsidR="00927113">
        <w:rPr>
          <w:noProof/>
        </w:rPr>
        <w:fldChar w:fldCharType="begin"/>
      </w:r>
      <w:r>
        <w:rPr>
          <w:noProof/>
        </w:rPr>
        <w:instrText xml:space="preserve"> PAGEREF _Toc448741416 \h </w:instrText>
      </w:r>
      <w:r w:rsidR="00927113">
        <w:rPr>
          <w:noProof/>
        </w:rPr>
      </w:r>
      <w:r w:rsidR="00927113">
        <w:rPr>
          <w:noProof/>
        </w:rPr>
        <w:fldChar w:fldCharType="separate"/>
      </w:r>
      <w:r w:rsidR="006B1686">
        <w:rPr>
          <w:noProof/>
        </w:rPr>
        <w:t>113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4.4.5</w:t>
      </w:r>
      <w:r>
        <w:rPr>
          <w:rFonts w:asciiTheme="minorHAnsi" w:eastAsiaTheme="minorEastAsia" w:hAnsiTheme="minorHAnsi" w:cstheme="minorBidi"/>
          <w:noProof/>
          <w:sz w:val="22"/>
          <w:szCs w:val="22"/>
        </w:rPr>
        <w:tab/>
      </w:r>
      <w:r>
        <w:rPr>
          <w:noProof/>
        </w:rPr>
        <w:t>Otras secciones de hormigón armado clase 135</w:t>
      </w:r>
      <w:r>
        <w:rPr>
          <w:noProof/>
        </w:rPr>
        <w:tab/>
      </w:r>
      <w:r w:rsidR="00927113">
        <w:rPr>
          <w:noProof/>
        </w:rPr>
        <w:fldChar w:fldCharType="begin"/>
      </w:r>
      <w:r>
        <w:rPr>
          <w:noProof/>
        </w:rPr>
        <w:instrText xml:space="preserve"> PAGEREF _Toc448741417 \h </w:instrText>
      </w:r>
      <w:r w:rsidR="00927113">
        <w:rPr>
          <w:noProof/>
        </w:rPr>
      </w:r>
      <w:r w:rsidR="00927113">
        <w:rPr>
          <w:noProof/>
        </w:rPr>
        <w:fldChar w:fldCharType="separate"/>
      </w:r>
      <w:r w:rsidR="006B1686">
        <w:rPr>
          <w:noProof/>
        </w:rPr>
        <w:t>115</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4.4.6</w:t>
      </w:r>
      <w:r>
        <w:rPr>
          <w:rFonts w:asciiTheme="minorHAnsi" w:eastAsiaTheme="minorEastAsia" w:hAnsiTheme="minorHAnsi" w:cstheme="minorBidi"/>
          <w:noProof/>
          <w:sz w:val="22"/>
          <w:szCs w:val="22"/>
        </w:rPr>
        <w:tab/>
      </w:r>
      <w:r>
        <w:rPr>
          <w:noProof/>
        </w:rPr>
        <w:t>Tuberías de polietileno (PE)</w:t>
      </w:r>
      <w:r>
        <w:rPr>
          <w:noProof/>
        </w:rPr>
        <w:tab/>
      </w:r>
      <w:r w:rsidR="00927113">
        <w:rPr>
          <w:noProof/>
        </w:rPr>
        <w:fldChar w:fldCharType="begin"/>
      </w:r>
      <w:r>
        <w:rPr>
          <w:noProof/>
        </w:rPr>
        <w:instrText xml:space="preserve"> PAGEREF _Toc448741418 \h </w:instrText>
      </w:r>
      <w:r w:rsidR="00927113">
        <w:rPr>
          <w:noProof/>
        </w:rPr>
      </w:r>
      <w:r w:rsidR="00927113">
        <w:rPr>
          <w:noProof/>
        </w:rPr>
        <w:fldChar w:fldCharType="separate"/>
      </w:r>
      <w:r w:rsidR="006B1686">
        <w:rPr>
          <w:noProof/>
        </w:rPr>
        <w:t>118</w:t>
      </w:r>
      <w:r w:rsidR="00927113">
        <w:rPr>
          <w:noProof/>
        </w:rPr>
        <w:fldChar w:fldCharType="end"/>
      </w:r>
    </w:p>
    <w:p w:rsidR="00360671" w:rsidRDefault="00360671">
      <w:pPr>
        <w:pStyle w:val="TDC3"/>
        <w:tabs>
          <w:tab w:val="left" w:pos="1851"/>
        </w:tabs>
        <w:rPr>
          <w:rFonts w:asciiTheme="minorHAnsi" w:eastAsiaTheme="minorEastAsia" w:hAnsiTheme="minorHAnsi" w:cstheme="minorBidi"/>
          <w:noProof/>
          <w:sz w:val="22"/>
          <w:szCs w:val="22"/>
        </w:rPr>
      </w:pPr>
      <w:r>
        <w:rPr>
          <w:noProof/>
        </w:rPr>
        <w:t>Artículo 4.4.7</w:t>
      </w:r>
      <w:r>
        <w:rPr>
          <w:rFonts w:asciiTheme="minorHAnsi" w:eastAsiaTheme="minorEastAsia" w:hAnsiTheme="minorHAnsi" w:cstheme="minorBidi"/>
          <w:noProof/>
          <w:sz w:val="22"/>
          <w:szCs w:val="22"/>
        </w:rPr>
        <w:tab/>
      </w:r>
      <w:r>
        <w:rPr>
          <w:noProof/>
        </w:rPr>
        <w:t>Tubería de poliéster reforzado con fibra de vidrio (PRFV) para redes de abastecimiento</w:t>
      </w:r>
      <w:r>
        <w:rPr>
          <w:noProof/>
        </w:rPr>
        <w:tab/>
      </w:r>
      <w:r w:rsidR="00927113">
        <w:rPr>
          <w:noProof/>
        </w:rPr>
        <w:fldChar w:fldCharType="begin"/>
      </w:r>
      <w:r>
        <w:rPr>
          <w:noProof/>
        </w:rPr>
        <w:instrText xml:space="preserve"> PAGEREF _Toc448741419 \h </w:instrText>
      </w:r>
      <w:r w:rsidR="00927113">
        <w:rPr>
          <w:noProof/>
        </w:rPr>
      </w:r>
      <w:r w:rsidR="00927113">
        <w:rPr>
          <w:noProof/>
        </w:rPr>
        <w:fldChar w:fldCharType="separate"/>
      </w:r>
      <w:r w:rsidR="006B1686">
        <w:rPr>
          <w:noProof/>
        </w:rPr>
        <w:t>121</w:t>
      </w:r>
      <w:r w:rsidR="00927113">
        <w:rPr>
          <w:noProof/>
        </w:rPr>
        <w:fldChar w:fldCharType="end"/>
      </w:r>
    </w:p>
    <w:p w:rsidR="00360671" w:rsidRDefault="00360671">
      <w:pPr>
        <w:pStyle w:val="TDC3"/>
        <w:tabs>
          <w:tab w:val="left" w:pos="1851"/>
        </w:tabs>
        <w:rPr>
          <w:rFonts w:asciiTheme="minorHAnsi" w:eastAsiaTheme="minorEastAsia" w:hAnsiTheme="minorHAnsi" w:cstheme="minorBidi"/>
          <w:noProof/>
          <w:sz w:val="22"/>
          <w:szCs w:val="22"/>
        </w:rPr>
      </w:pPr>
      <w:r>
        <w:rPr>
          <w:noProof/>
        </w:rPr>
        <w:t>Artículo 4.4.8</w:t>
      </w:r>
      <w:r>
        <w:rPr>
          <w:rFonts w:asciiTheme="minorHAnsi" w:eastAsiaTheme="minorEastAsia" w:hAnsiTheme="minorHAnsi" w:cstheme="minorBidi"/>
          <w:noProof/>
          <w:sz w:val="22"/>
          <w:szCs w:val="22"/>
        </w:rPr>
        <w:tab/>
      </w:r>
      <w:r>
        <w:rPr>
          <w:noProof/>
        </w:rPr>
        <w:t>Tubería de poliéster reforzado con fibra de vidrio (PRFV) para redes de saneamiento</w:t>
      </w:r>
      <w:r>
        <w:rPr>
          <w:noProof/>
        </w:rPr>
        <w:tab/>
      </w:r>
      <w:r w:rsidR="00927113">
        <w:rPr>
          <w:noProof/>
        </w:rPr>
        <w:fldChar w:fldCharType="begin"/>
      </w:r>
      <w:r>
        <w:rPr>
          <w:noProof/>
        </w:rPr>
        <w:instrText xml:space="preserve"> PAGEREF _Toc448741420 \h </w:instrText>
      </w:r>
      <w:r w:rsidR="00927113">
        <w:rPr>
          <w:noProof/>
        </w:rPr>
      </w:r>
      <w:r w:rsidR="00927113">
        <w:rPr>
          <w:noProof/>
        </w:rPr>
        <w:fldChar w:fldCharType="separate"/>
      </w:r>
      <w:r w:rsidR="006B1686">
        <w:rPr>
          <w:noProof/>
        </w:rPr>
        <w:t>124</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4.4.9</w:t>
      </w:r>
      <w:r>
        <w:rPr>
          <w:rFonts w:asciiTheme="minorHAnsi" w:eastAsiaTheme="minorEastAsia" w:hAnsiTheme="minorHAnsi" w:cstheme="minorBidi"/>
          <w:noProof/>
          <w:sz w:val="22"/>
          <w:szCs w:val="22"/>
        </w:rPr>
        <w:tab/>
      </w:r>
      <w:r>
        <w:rPr>
          <w:noProof/>
        </w:rPr>
        <w:t>Tubería de acero helicosoldada</w:t>
      </w:r>
      <w:r>
        <w:rPr>
          <w:noProof/>
        </w:rPr>
        <w:tab/>
      </w:r>
      <w:r w:rsidR="00927113">
        <w:rPr>
          <w:noProof/>
        </w:rPr>
        <w:fldChar w:fldCharType="begin"/>
      </w:r>
      <w:r>
        <w:rPr>
          <w:noProof/>
        </w:rPr>
        <w:instrText xml:space="preserve"> PAGEREF _Toc448741421 \h </w:instrText>
      </w:r>
      <w:r w:rsidR="00927113">
        <w:rPr>
          <w:noProof/>
        </w:rPr>
      </w:r>
      <w:r w:rsidR="00927113">
        <w:rPr>
          <w:noProof/>
        </w:rPr>
        <w:fldChar w:fldCharType="separate"/>
      </w:r>
      <w:r w:rsidR="006B1686">
        <w:rPr>
          <w:noProof/>
        </w:rPr>
        <w:t>127</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4.4.10</w:t>
      </w:r>
      <w:r>
        <w:rPr>
          <w:rFonts w:asciiTheme="minorHAnsi" w:eastAsiaTheme="minorEastAsia" w:hAnsiTheme="minorHAnsi" w:cstheme="minorBidi"/>
          <w:noProof/>
          <w:sz w:val="22"/>
          <w:szCs w:val="22"/>
        </w:rPr>
        <w:tab/>
      </w:r>
      <w:r>
        <w:rPr>
          <w:noProof/>
        </w:rPr>
        <w:t>Tubería de materiales termoplásticos de pared estructurada</w:t>
      </w:r>
      <w:r>
        <w:rPr>
          <w:noProof/>
        </w:rPr>
        <w:tab/>
      </w:r>
      <w:r w:rsidR="00927113">
        <w:rPr>
          <w:noProof/>
        </w:rPr>
        <w:fldChar w:fldCharType="begin"/>
      </w:r>
      <w:r>
        <w:rPr>
          <w:noProof/>
        </w:rPr>
        <w:instrText xml:space="preserve"> PAGEREF _Toc448741422 \h </w:instrText>
      </w:r>
      <w:r w:rsidR="00927113">
        <w:rPr>
          <w:noProof/>
        </w:rPr>
      </w:r>
      <w:r w:rsidR="00927113">
        <w:rPr>
          <w:noProof/>
        </w:rPr>
        <w:fldChar w:fldCharType="separate"/>
      </w:r>
      <w:r w:rsidR="006B1686">
        <w:rPr>
          <w:noProof/>
        </w:rPr>
        <w:t>130</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4.4.11</w:t>
      </w:r>
      <w:r>
        <w:rPr>
          <w:rFonts w:asciiTheme="minorHAnsi" w:eastAsiaTheme="minorEastAsia" w:hAnsiTheme="minorHAnsi" w:cstheme="minorBidi"/>
          <w:noProof/>
          <w:sz w:val="22"/>
          <w:szCs w:val="22"/>
        </w:rPr>
        <w:tab/>
      </w:r>
      <w:r>
        <w:rPr>
          <w:noProof/>
        </w:rPr>
        <w:t>Tubería de PVC orientado (PVC-O)</w:t>
      </w:r>
      <w:r>
        <w:rPr>
          <w:noProof/>
        </w:rPr>
        <w:tab/>
      </w:r>
      <w:r w:rsidR="00927113">
        <w:rPr>
          <w:noProof/>
        </w:rPr>
        <w:fldChar w:fldCharType="begin"/>
      </w:r>
      <w:r>
        <w:rPr>
          <w:noProof/>
        </w:rPr>
        <w:instrText xml:space="preserve"> PAGEREF _Toc448741423 \h </w:instrText>
      </w:r>
      <w:r w:rsidR="00927113">
        <w:rPr>
          <w:noProof/>
        </w:rPr>
      </w:r>
      <w:r w:rsidR="00927113">
        <w:rPr>
          <w:noProof/>
        </w:rPr>
        <w:fldChar w:fldCharType="separate"/>
      </w:r>
      <w:r w:rsidR="006B1686">
        <w:rPr>
          <w:noProof/>
        </w:rPr>
        <w:t>132</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4.4.12</w:t>
      </w:r>
      <w:r>
        <w:rPr>
          <w:rFonts w:asciiTheme="minorHAnsi" w:eastAsiaTheme="minorEastAsia" w:hAnsiTheme="minorHAnsi" w:cstheme="minorBidi"/>
          <w:noProof/>
          <w:sz w:val="22"/>
          <w:szCs w:val="22"/>
        </w:rPr>
        <w:tab/>
      </w:r>
      <w:r>
        <w:rPr>
          <w:noProof/>
        </w:rPr>
        <w:t>Tubería de fundición dúctil para abastecimiento/reutilización</w:t>
      </w:r>
      <w:r>
        <w:rPr>
          <w:noProof/>
        </w:rPr>
        <w:tab/>
      </w:r>
      <w:r w:rsidR="00927113">
        <w:rPr>
          <w:noProof/>
        </w:rPr>
        <w:fldChar w:fldCharType="begin"/>
      </w:r>
      <w:r>
        <w:rPr>
          <w:noProof/>
        </w:rPr>
        <w:instrText xml:space="preserve"> PAGEREF _Toc448741424 \h </w:instrText>
      </w:r>
      <w:r w:rsidR="00927113">
        <w:rPr>
          <w:noProof/>
        </w:rPr>
      </w:r>
      <w:r w:rsidR="00927113">
        <w:rPr>
          <w:noProof/>
        </w:rPr>
        <w:fldChar w:fldCharType="separate"/>
      </w:r>
      <w:r w:rsidR="006B1686">
        <w:rPr>
          <w:noProof/>
        </w:rPr>
        <w:t>134</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4.4.13</w:t>
      </w:r>
      <w:r>
        <w:rPr>
          <w:rFonts w:asciiTheme="minorHAnsi" w:eastAsiaTheme="minorEastAsia" w:hAnsiTheme="minorHAnsi" w:cstheme="minorBidi"/>
          <w:noProof/>
          <w:sz w:val="22"/>
          <w:szCs w:val="22"/>
        </w:rPr>
        <w:tab/>
      </w:r>
      <w:r>
        <w:rPr>
          <w:noProof/>
        </w:rPr>
        <w:t>Tubería de fundición dúctil para redes de saneamiento</w:t>
      </w:r>
      <w:r>
        <w:rPr>
          <w:noProof/>
        </w:rPr>
        <w:tab/>
      </w:r>
      <w:r w:rsidR="00927113">
        <w:rPr>
          <w:noProof/>
        </w:rPr>
        <w:fldChar w:fldCharType="begin"/>
      </w:r>
      <w:r>
        <w:rPr>
          <w:noProof/>
        </w:rPr>
        <w:instrText xml:space="preserve"> PAGEREF _Toc448741425 \h </w:instrText>
      </w:r>
      <w:r w:rsidR="00927113">
        <w:rPr>
          <w:noProof/>
        </w:rPr>
      </w:r>
      <w:r w:rsidR="00927113">
        <w:rPr>
          <w:noProof/>
        </w:rPr>
        <w:fldChar w:fldCharType="separate"/>
      </w:r>
      <w:r w:rsidR="006B1686">
        <w:rPr>
          <w:noProof/>
        </w:rPr>
        <w:t>139</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lastRenderedPageBreak/>
        <w:t>Artículo 4.4.14</w:t>
      </w:r>
      <w:r>
        <w:rPr>
          <w:rFonts w:asciiTheme="minorHAnsi" w:eastAsiaTheme="minorEastAsia" w:hAnsiTheme="minorHAnsi" w:cstheme="minorBidi"/>
          <w:noProof/>
          <w:sz w:val="22"/>
          <w:szCs w:val="22"/>
        </w:rPr>
        <w:tab/>
      </w:r>
      <w:r>
        <w:rPr>
          <w:noProof/>
        </w:rPr>
        <w:t>Tubería de fundición. Mangas y revestimientos</w:t>
      </w:r>
      <w:r>
        <w:rPr>
          <w:noProof/>
        </w:rPr>
        <w:tab/>
      </w:r>
      <w:r w:rsidR="00927113">
        <w:rPr>
          <w:noProof/>
        </w:rPr>
        <w:fldChar w:fldCharType="begin"/>
      </w:r>
      <w:r>
        <w:rPr>
          <w:noProof/>
        </w:rPr>
        <w:instrText xml:space="preserve"> PAGEREF _Toc448741426 \h </w:instrText>
      </w:r>
      <w:r w:rsidR="00927113">
        <w:rPr>
          <w:noProof/>
        </w:rPr>
      </w:r>
      <w:r w:rsidR="00927113">
        <w:rPr>
          <w:noProof/>
        </w:rPr>
        <w:fldChar w:fldCharType="separate"/>
      </w:r>
      <w:r w:rsidR="006B1686">
        <w:rPr>
          <w:noProof/>
        </w:rPr>
        <w:t>142</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4.4.15</w:t>
      </w:r>
      <w:r>
        <w:rPr>
          <w:rFonts w:asciiTheme="minorHAnsi" w:eastAsiaTheme="minorEastAsia" w:hAnsiTheme="minorHAnsi" w:cstheme="minorBidi"/>
          <w:noProof/>
          <w:sz w:val="22"/>
          <w:szCs w:val="22"/>
        </w:rPr>
        <w:tab/>
      </w:r>
      <w:r>
        <w:rPr>
          <w:noProof/>
        </w:rPr>
        <w:t>Tubería de gres vitrificado</w:t>
      </w:r>
      <w:r>
        <w:rPr>
          <w:noProof/>
        </w:rPr>
        <w:tab/>
      </w:r>
      <w:r w:rsidR="00927113">
        <w:rPr>
          <w:noProof/>
        </w:rPr>
        <w:fldChar w:fldCharType="begin"/>
      </w:r>
      <w:r>
        <w:rPr>
          <w:noProof/>
        </w:rPr>
        <w:instrText xml:space="preserve"> PAGEREF _Toc448741427 \h </w:instrText>
      </w:r>
      <w:r w:rsidR="00927113">
        <w:rPr>
          <w:noProof/>
        </w:rPr>
      </w:r>
      <w:r w:rsidR="00927113">
        <w:rPr>
          <w:noProof/>
        </w:rPr>
        <w:fldChar w:fldCharType="separate"/>
      </w:r>
      <w:r w:rsidR="006B1686">
        <w:rPr>
          <w:noProof/>
        </w:rPr>
        <w:t>143</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4.4.16</w:t>
      </w:r>
      <w:r>
        <w:rPr>
          <w:rFonts w:asciiTheme="minorHAnsi" w:eastAsiaTheme="minorEastAsia" w:hAnsiTheme="minorHAnsi" w:cstheme="minorBidi"/>
          <w:noProof/>
          <w:sz w:val="22"/>
          <w:szCs w:val="22"/>
        </w:rPr>
        <w:tab/>
      </w:r>
      <w:r>
        <w:rPr>
          <w:noProof/>
        </w:rPr>
        <w:t>Tubería de acero inoxidable</w:t>
      </w:r>
      <w:r>
        <w:rPr>
          <w:noProof/>
        </w:rPr>
        <w:tab/>
      </w:r>
      <w:r w:rsidR="00927113">
        <w:rPr>
          <w:noProof/>
        </w:rPr>
        <w:fldChar w:fldCharType="begin"/>
      </w:r>
      <w:r>
        <w:rPr>
          <w:noProof/>
        </w:rPr>
        <w:instrText xml:space="preserve"> PAGEREF _Toc448741428 \h </w:instrText>
      </w:r>
      <w:r w:rsidR="00927113">
        <w:rPr>
          <w:noProof/>
        </w:rPr>
      </w:r>
      <w:r w:rsidR="00927113">
        <w:rPr>
          <w:noProof/>
        </w:rPr>
        <w:fldChar w:fldCharType="separate"/>
      </w:r>
      <w:r w:rsidR="006B1686">
        <w:rPr>
          <w:noProof/>
        </w:rPr>
        <w:t>145</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4.4.17</w:t>
      </w:r>
      <w:r>
        <w:rPr>
          <w:rFonts w:asciiTheme="minorHAnsi" w:eastAsiaTheme="minorEastAsia" w:hAnsiTheme="minorHAnsi" w:cstheme="minorBidi"/>
          <w:noProof/>
          <w:sz w:val="22"/>
          <w:szCs w:val="22"/>
        </w:rPr>
        <w:tab/>
      </w:r>
      <w:r>
        <w:rPr>
          <w:noProof/>
        </w:rPr>
        <w:t>Hinca de tuberías</w:t>
      </w:r>
      <w:r>
        <w:rPr>
          <w:noProof/>
        </w:rPr>
        <w:tab/>
      </w:r>
      <w:r w:rsidR="00927113">
        <w:rPr>
          <w:noProof/>
        </w:rPr>
        <w:fldChar w:fldCharType="begin"/>
      </w:r>
      <w:r>
        <w:rPr>
          <w:noProof/>
        </w:rPr>
        <w:instrText xml:space="preserve"> PAGEREF _Toc448741429 \h </w:instrText>
      </w:r>
      <w:r w:rsidR="00927113">
        <w:rPr>
          <w:noProof/>
        </w:rPr>
      </w:r>
      <w:r w:rsidR="00927113">
        <w:rPr>
          <w:noProof/>
        </w:rPr>
        <w:fldChar w:fldCharType="separate"/>
      </w:r>
      <w:r w:rsidR="006B1686">
        <w:rPr>
          <w:noProof/>
        </w:rPr>
        <w:t>145</w:t>
      </w:r>
      <w:r w:rsidR="00927113">
        <w:rPr>
          <w:noProof/>
        </w:rPr>
        <w:fldChar w:fldCharType="end"/>
      </w:r>
    </w:p>
    <w:p w:rsidR="00360671" w:rsidRDefault="00360671">
      <w:pPr>
        <w:pStyle w:val="TDC3"/>
        <w:tabs>
          <w:tab w:val="left" w:pos="2027"/>
        </w:tabs>
        <w:rPr>
          <w:rFonts w:asciiTheme="minorHAnsi" w:eastAsiaTheme="minorEastAsia" w:hAnsiTheme="minorHAnsi" w:cstheme="minorBidi"/>
          <w:noProof/>
          <w:sz w:val="22"/>
          <w:szCs w:val="22"/>
        </w:rPr>
      </w:pPr>
      <w:r>
        <w:rPr>
          <w:noProof/>
        </w:rPr>
        <w:t>Artículo 4.4.18</w:t>
      </w:r>
      <w:r>
        <w:rPr>
          <w:rFonts w:asciiTheme="minorHAnsi" w:eastAsiaTheme="minorEastAsia" w:hAnsiTheme="minorHAnsi" w:cstheme="minorBidi"/>
          <w:noProof/>
          <w:sz w:val="22"/>
          <w:szCs w:val="22"/>
        </w:rPr>
        <w:tab/>
      </w:r>
      <w:r>
        <w:rPr>
          <w:noProof/>
        </w:rPr>
        <w:t>Pruebas de la tubería instalada en redes de abastecimiento/agua regenerada</w:t>
      </w:r>
      <w:r>
        <w:rPr>
          <w:noProof/>
        </w:rPr>
        <w:tab/>
      </w:r>
      <w:r w:rsidR="00927113">
        <w:rPr>
          <w:noProof/>
        </w:rPr>
        <w:fldChar w:fldCharType="begin"/>
      </w:r>
      <w:r>
        <w:rPr>
          <w:noProof/>
        </w:rPr>
        <w:instrText xml:space="preserve"> PAGEREF _Toc448741430 \h </w:instrText>
      </w:r>
      <w:r w:rsidR="00927113">
        <w:rPr>
          <w:noProof/>
        </w:rPr>
      </w:r>
      <w:r w:rsidR="00927113">
        <w:rPr>
          <w:noProof/>
        </w:rPr>
        <w:fldChar w:fldCharType="separate"/>
      </w:r>
      <w:r w:rsidR="006B1686">
        <w:rPr>
          <w:noProof/>
        </w:rPr>
        <w:t>147</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sidRPr="00DC18DE">
        <w:rPr>
          <w:rFonts w:cs="Arial Negrita"/>
          <w:noProof/>
        </w:rPr>
        <w:t>Artículo 4.4.19</w:t>
      </w:r>
      <w:r>
        <w:rPr>
          <w:rFonts w:asciiTheme="minorHAnsi" w:eastAsiaTheme="minorEastAsia" w:hAnsiTheme="minorHAnsi" w:cstheme="minorBidi"/>
          <w:noProof/>
          <w:sz w:val="22"/>
          <w:szCs w:val="22"/>
        </w:rPr>
        <w:tab/>
      </w:r>
      <w:r>
        <w:rPr>
          <w:noProof/>
        </w:rPr>
        <w:t>Pruebas de la tubería instalada en redes de saneamiento</w:t>
      </w:r>
      <w:r>
        <w:rPr>
          <w:noProof/>
        </w:rPr>
        <w:tab/>
      </w:r>
      <w:r w:rsidR="00927113">
        <w:rPr>
          <w:noProof/>
        </w:rPr>
        <w:fldChar w:fldCharType="begin"/>
      </w:r>
      <w:r>
        <w:rPr>
          <w:noProof/>
        </w:rPr>
        <w:instrText xml:space="preserve"> PAGEREF _Toc448741431 \h </w:instrText>
      </w:r>
      <w:r w:rsidR="00927113">
        <w:rPr>
          <w:noProof/>
        </w:rPr>
      </w:r>
      <w:r w:rsidR="00927113">
        <w:rPr>
          <w:noProof/>
        </w:rPr>
        <w:fldChar w:fldCharType="separate"/>
      </w:r>
      <w:r w:rsidR="006B1686">
        <w:rPr>
          <w:noProof/>
        </w:rPr>
        <w:t>151</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sidRPr="00DC18DE">
        <w:rPr>
          <w:rFonts w:cs="Arial Negrita"/>
          <w:noProof/>
        </w:rPr>
        <w:t>Artículo 4.4.20</w:t>
      </w:r>
      <w:r>
        <w:rPr>
          <w:rFonts w:asciiTheme="minorHAnsi" w:eastAsiaTheme="minorEastAsia" w:hAnsiTheme="minorHAnsi" w:cstheme="minorBidi"/>
          <w:noProof/>
          <w:sz w:val="22"/>
          <w:szCs w:val="22"/>
        </w:rPr>
        <w:tab/>
      </w:r>
      <w:r>
        <w:rPr>
          <w:noProof/>
        </w:rPr>
        <w:t>Accesorios y piezas especiales en acero</w:t>
      </w:r>
      <w:r>
        <w:rPr>
          <w:noProof/>
        </w:rPr>
        <w:tab/>
      </w:r>
      <w:r w:rsidR="00927113">
        <w:rPr>
          <w:noProof/>
        </w:rPr>
        <w:fldChar w:fldCharType="begin"/>
      </w:r>
      <w:r>
        <w:rPr>
          <w:noProof/>
        </w:rPr>
        <w:instrText xml:space="preserve"> PAGEREF _Toc448741432 \h </w:instrText>
      </w:r>
      <w:r w:rsidR="00927113">
        <w:rPr>
          <w:noProof/>
        </w:rPr>
      </w:r>
      <w:r w:rsidR="00927113">
        <w:rPr>
          <w:noProof/>
        </w:rPr>
        <w:fldChar w:fldCharType="separate"/>
      </w:r>
      <w:r w:rsidR="006B1686">
        <w:rPr>
          <w:noProof/>
        </w:rPr>
        <w:t>154</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4.4.21</w:t>
      </w:r>
      <w:r>
        <w:rPr>
          <w:rFonts w:asciiTheme="minorHAnsi" w:eastAsiaTheme="minorEastAsia" w:hAnsiTheme="minorHAnsi" w:cstheme="minorBidi"/>
          <w:noProof/>
          <w:sz w:val="22"/>
          <w:szCs w:val="22"/>
        </w:rPr>
        <w:tab/>
      </w:r>
      <w:r>
        <w:rPr>
          <w:noProof/>
        </w:rPr>
        <w:t>Accesorios y piezas especiales en fundición dúctil</w:t>
      </w:r>
      <w:r>
        <w:rPr>
          <w:noProof/>
        </w:rPr>
        <w:tab/>
      </w:r>
      <w:r w:rsidR="00927113">
        <w:rPr>
          <w:noProof/>
        </w:rPr>
        <w:fldChar w:fldCharType="begin"/>
      </w:r>
      <w:r>
        <w:rPr>
          <w:noProof/>
        </w:rPr>
        <w:instrText xml:space="preserve"> PAGEREF _Toc448741433 \h </w:instrText>
      </w:r>
      <w:r w:rsidR="00927113">
        <w:rPr>
          <w:noProof/>
        </w:rPr>
      </w:r>
      <w:r w:rsidR="00927113">
        <w:rPr>
          <w:noProof/>
        </w:rPr>
        <w:fldChar w:fldCharType="separate"/>
      </w:r>
      <w:r w:rsidR="006B1686">
        <w:rPr>
          <w:noProof/>
        </w:rPr>
        <w:t>155</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4.4.22</w:t>
      </w:r>
      <w:r>
        <w:rPr>
          <w:rFonts w:asciiTheme="minorHAnsi" w:eastAsiaTheme="minorEastAsia" w:hAnsiTheme="minorHAnsi" w:cstheme="minorBidi"/>
          <w:noProof/>
          <w:sz w:val="22"/>
          <w:szCs w:val="22"/>
        </w:rPr>
        <w:tab/>
      </w:r>
      <w:r>
        <w:rPr>
          <w:noProof/>
        </w:rPr>
        <w:t>Accesorios y piezas especiales de otros materiales</w:t>
      </w:r>
      <w:r>
        <w:rPr>
          <w:noProof/>
        </w:rPr>
        <w:tab/>
      </w:r>
      <w:r w:rsidR="00927113">
        <w:rPr>
          <w:noProof/>
        </w:rPr>
        <w:fldChar w:fldCharType="begin"/>
      </w:r>
      <w:r>
        <w:rPr>
          <w:noProof/>
        </w:rPr>
        <w:instrText xml:space="preserve"> PAGEREF _Toc448741434 \h </w:instrText>
      </w:r>
      <w:r w:rsidR="00927113">
        <w:rPr>
          <w:noProof/>
        </w:rPr>
      </w:r>
      <w:r w:rsidR="00927113">
        <w:rPr>
          <w:noProof/>
        </w:rPr>
        <w:fldChar w:fldCharType="separate"/>
      </w:r>
      <w:r w:rsidR="006B1686">
        <w:rPr>
          <w:noProof/>
        </w:rPr>
        <w:t>156</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4.5</w:t>
      </w:r>
      <w:r>
        <w:rPr>
          <w:rFonts w:asciiTheme="minorHAnsi" w:eastAsiaTheme="minorEastAsia" w:hAnsiTheme="minorHAnsi" w:cstheme="minorBidi"/>
          <w:noProof/>
          <w:szCs w:val="22"/>
        </w:rPr>
        <w:tab/>
      </w:r>
      <w:r w:rsidRPr="00DC18DE">
        <w:rPr>
          <w:noProof/>
        </w:rPr>
        <w:t>EDIFICACIÓN</w:t>
      </w:r>
      <w:r>
        <w:rPr>
          <w:noProof/>
        </w:rPr>
        <w:tab/>
      </w:r>
      <w:r w:rsidR="00927113">
        <w:rPr>
          <w:noProof/>
        </w:rPr>
        <w:fldChar w:fldCharType="begin"/>
      </w:r>
      <w:r>
        <w:rPr>
          <w:noProof/>
        </w:rPr>
        <w:instrText xml:space="preserve"> PAGEREF _Toc448741435 \h </w:instrText>
      </w:r>
      <w:r w:rsidR="00927113">
        <w:rPr>
          <w:noProof/>
        </w:rPr>
      </w:r>
      <w:r w:rsidR="00927113">
        <w:rPr>
          <w:noProof/>
        </w:rPr>
        <w:fldChar w:fldCharType="separate"/>
      </w:r>
      <w:r w:rsidR="006B1686">
        <w:rPr>
          <w:noProof/>
        </w:rPr>
        <w:t>157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4.5.1</w:t>
      </w:r>
      <w:r>
        <w:rPr>
          <w:rFonts w:asciiTheme="minorHAnsi" w:eastAsiaTheme="minorEastAsia" w:hAnsiTheme="minorHAnsi" w:cstheme="minorBidi"/>
          <w:noProof/>
          <w:sz w:val="22"/>
          <w:szCs w:val="22"/>
        </w:rPr>
        <w:tab/>
      </w:r>
      <w:r>
        <w:rPr>
          <w:noProof/>
        </w:rPr>
        <w:t>Albañilería</w:t>
      </w:r>
      <w:r>
        <w:rPr>
          <w:noProof/>
        </w:rPr>
        <w:tab/>
      </w:r>
      <w:r w:rsidR="00927113">
        <w:rPr>
          <w:noProof/>
        </w:rPr>
        <w:fldChar w:fldCharType="begin"/>
      </w:r>
      <w:r>
        <w:rPr>
          <w:noProof/>
        </w:rPr>
        <w:instrText xml:space="preserve"> PAGEREF _Toc448741436 \h </w:instrText>
      </w:r>
      <w:r w:rsidR="00927113">
        <w:rPr>
          <w:noProof/>
        </w:rPr>
      </w:r>
      <w:r w:rsidR="00927113">
        <w:rPr>
          <w:noProof/>
        </w:rPr>
        <w:fldChar w:fldCharType="separate"/>
      </w:r>
      <w:r w:rsidR="006B1686">
        <w:rPr>
          <w:noProof/>
        </w:rPr>
        <w:t>157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4.5.2</w:t>
      </w:r>
      <w:r>
        <w:rPr>
          <w:rFonts w:asciiTheme="minorHAnsi" w:eastAsiaTheme="minorEastAsia" w:hAnsiTheme="minorHAnsi" w:cstheme="minorBidi"/>
          <w:noProof/>
          <w:sz w:val="22"/>
          <w:szCs w:val="22"/>
        </w:rPr>
        <w:tab/>
      </w:r>
      <w:r>
        <w:rPr>
          <w:noProof/>
        </w:rPr>
        <w:t>Revestimientos</w:t>
      </w:r>
      <w:r>
        <w:rPr>
          <w:noProof/>
        </w:rPr>
        <w:tab/>
      </w:r>
      <w:r w:rsidR="00927113">
        <w:rPr>
          <w:noProof/>
        </w:rPr>
        <w:fldChar w:fldCharType="begin"/>
      </w:r>
      <w:r>
        <w:rPr>
          <w:noProof/>
        </w:rPr>
        <w:instrText xml:space="preserve"> PAGEREF _Toc448741437 \h </w:instrText>
      </w:r>
      <w:r w:rsidR="00927113">
        <w:rPr>
          <w:noProof/>
        </w:rPr>
      </w:r>
      <w:r w:rsidR="00927113">
        <w:rPr>
          <w:noProof/>
        </w:rPr>
        <w:fldChar w:fldCharType="separate"/>
      </w:r>
      <w:r w:rsidR="006B1686">
        <w:rPr>
          <w:noProof/>
        </w:rPr>
        <w:t>170</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4.5.3</w:t>
      </w:r>
      <w:r>
        <w:rPr>
          <w:rFonts w:asciiTheme="minorHAnsi" w:eastAsiaTheme="minorEastAsia" w:hAnsiTheme="minorHAnsi" w:cstheme="minorBidi"/>
          <w:noProof/>
          <w:sz w:val="22"/>
          <w:szCs w:val="22"/>
        </w:rPr>
        <w:tab/>
      </w:r>
      <w:r>
        <w:rPr>
          <w:noProof/>
        </w:rPr>
        <w:t>Carpintería</w:t>
      </w:r>
      <w:r>
        <w:rPr>
          <w:noProof/>
        </w:rPr>
        <w:tab/>
      </w:r>
      <w:r w:rsidR="00927113">
        <w:rPr>
          <w:noProof/>
        </w:rPr>
        <w:fldChar w:fldCharType="begin"/>
      </w:r>
      <w:r>
        <w:rPr>
          <w:noProof/>
        </w:rPr>
        <w:instrText xml:space="preserve"> PAGEREF _Toc448741438 \h </w:instrText>
      </w:r>
      <w:r w:rsidR="00927113">
        <w:rPr>
          <w:noProof/>
        </w:rPr>
      </w:r>
      <w:r w:rsidR="00927113">
        <w:rPr>
          <w:noProof/>
        </w:rPr>
        <w:fldChar w:fldCharType="separate"/>
      </w:r>
      <w:r w:rsidR="006B1686">
        <w:rPr>
          <w:noProof/>
        </w:rPr>
        <w:t>174</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4.5.4</w:t>
      </w:r>
      <w:r>
        <w:rPr>
          <w:rFonts w:asciiTheme="minorHAnsi" w:eastAsiaTheme="minorEastAsia" w:hAnsiTheme="minorHAnsi" w:cstheme="minorBidi"/>
          <w:noProof/>
          <w:sz w:val="22"/>
          <w:szCs w:val="22"/>
        </w:rPr>
        <w:tab/>
      </w:r>
      <w:r>
        <w:rPr>
          <w:noProof/>
        </w:rPr>
        <w:t>Vidrios</w:t>
      </w:r>
      <w:r>
        <w:rPr>
          <w:noProof/>
        </w:rPr>
        <w:tab/>
      </w:r>
      <w:r w:rsidR="00927113">
        <w:rPr>
          <w:noProof/>
        </w:rPr>
        <w:fldChar w:fldCharType="begin"/>
      </w:r>
      <w:r>
        <w:rPr>
          <w:noProof/>
        </w:rPr>
        <w:instrText xml:space="preserve"> PAGEREF _Toc448741439 \h </w:instrText>
      </w:r>
      <w:r w:rsidR="00927113">
        <w:rPr>
          <w:noProof/>
        </w:rPr>
      </w:r>
      <w:r w:rsidR="00927113">
        <w:rPr>
          <w:noProof/>
        </w:rPr>
        <w:fldChar w:fldCharType="separate"/>
      </w:r>
      <w:r w:rsidR="006B1686">
        <w:rPr>
          <w:noProof/>
        </w:rPr>
        <w:t>178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4.5.5</w:t>
      </w:r>
      <w:r>
        <w:rPr>
          <w:rFonts w:asciiTheme="minorHAnsi" w:eastAsiaTheme="minorEastAsia" w:hAnsiTheme="minorHAnsi" w:cstheme="minorBidi"/>
          <w:noProof/>
          <w:sz w:val="22"/>
          <w:szCs w:val="22"/>
        </w:rPr>
        <w:tab/>
      </w:r>
      <w:r>
        <w:rPr>
          <w:noProof/>
        </w:rPr>
        <w:t>Instalación interior de evacuación de aguas</w:t>
      </w:r>
      <w:r>
        <w:rPr>
          <w:noProof/>
        </w:rPr>
        <w:tab/>
      </w:r>
      <w:r w:rsidR="00927113">
        <w:rPr>
          <w:noProof/>
        </w:rPr>
        <w:fldChar w:fldCharType="begin"/>
      </w:r>
      <w:r>
        <w:rPr>
          <w:noProof/>
        </w:rPr>
        <w:instrText xml:space="preserve"> PAGEREF _Toc448741440 \h </w:instrText>
      </w:r>
      <w:r w:rsidR="00927113">
        <w:rPr>
          <w:noProof/>
        </w:rPr>
      </w:r>
      <w:r w:rsidR="00927113">
        <w:rPr>
          <w:noProof/>
        </w:rPr>
        <w:fldChar w:fldCharType="separate"/>
      </w:r>
      <w:r w:rsidR="006B1686">
        <w:rPr>
          <w:noProof/>
        </w:rPr>
        <w:t>178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4.5.6</w:t>
      </w:r>
      <w:r>
        <w:rPr>
          <w:rFonts w:asciiTheme="minorHAnsi" w:eastAsiaTheme="minorEastAsia" w:hAnsiTheme="minorHAnsi" w:cstheme="minorBidi"/>
          <w:noProof/>
          <w:sz w:val="22"/>
          <w:szCs w:val="22"/>
        </w:rPr>
        <w:tab/>
      </w:r>
      <w:r>
        <w:rPr>
          <w:noProof/>
        </w:rPr>
        <w:t>Instalaciones interiores de suministro de agua</w:t>
      </w:r>
      <w:r>
        <w:rPr>
          <w:noProof/>
        </w:rPr>
        <w:tab/>
      </w:r>
      <w:r w:rsidR="00927113">
        <w:rPr>
          <w:noProof/>
        </w:rPr>
        <w:fldChar w:fldCharType="begin"/>
      </w:r>
      <w:r>
        <w:rPr>
          <w:noProof/>
        </w:rPr>
        <w:instrText xml:space="preserve"> PAGEREF _Toc448741441 \h </w:instrText>
      </w:r>
      <w:r w:rsidR="00927113">
        <w:rPr>
          <w:noProof/>
        </w:rPr>
      </w:r>
      <w:r w:rsidR="00927113">
        <w:rPr>
          <w:noProof/>
        </w:rPr>
        <w:fldChar w:fldCharType="separate"/>
      </w:r>
      <w:r w:rsidR="006B1686">
        <w:rPr>
          <w:noProof/>
        </w:rPr>
        <w:t>179</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4.5.7</w:t>
      </w:r>
      <w:r>
        <w:rPr>
          <w:rFonts w:asciiTheme="minorHAnsi" w:eastAsiaTheme="minorEastAsia" w:hAnsiTheme="minorHAnsi" w:cstheme="minorBidi"/>
          <w:noProof/>
          <w:sz w:val="22"/>
          <w:szCs w:val="22"/>
        </w:rPr>
        <w:tab/>
      </w:r>
      <w:r>
        <w:rPr>
          <w:noProof/>
        </w:rPr>
        <w:t>Instalaciones de protección contra incendios</w:t>
      </w:r>
      <w:r>
        <w:rPr>
          <w:noProof/>
        </w:rPr>
        <w:tab/>
      </w:r>
      <w:r w:rsidR="00927113">
        <w:rPr>
          <w:noProof/>
        </w:rPr>
        <w:fldChar w:fldCharType="begin"/>
      </w:r>
      <w:r>
        <w:rPr>
          <w:noProof/>
        </w:rPr>
        <w:instrText xml:space="preserve"> PAGEREF _Toc448741442 \h </w:instrText>
      </w:r>
      <w:r w:rsidR="00927113">
        <w:rPr>
          <w:noProof/>
        </w:rPr>
      </w:r>
      <w:r w:rsidR="00927113">
        <w:rPr>
          <w:noProof/>
        </w:rPr>
        <w:fldChar w:fldCharType="separate"/>
      </w:r>
      <w:r w:rsidR="006B1686">
        <w:rPr>
          <w:noProof/>
        </w:rPr>
        <w:t>179</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4.5.8</w:t>
      </w:r>
      <w:r>
        <w:rPr>
          <w:rFonts w:asciiTheme="minorHAnsi" w:eastAsiaTheme="minorEastAsia" w:hAnsiTheme="minorHAnsi" w:cstheme="minorBidi"/>
          <w:noProof/>
          <w:sz w:val="22"/>
          <w:szCs w:val="22"/>
        </w:rPr>
        <w:tab/>
      </w:r>
      <w:r>
        <w:rPr>
          <w:noProof/>
        </w:rPr>
        <w:t>Instalaciones de gas</w:t>
      </w:r>
      <w:r>
        <w:rPr>
          <w:noProof/>
        </w:rPr>
        <w:tab/>
      </w:r>
      <w:r w:rsidR="00927113">
        <w:rPr>
          <w:noProof/>
        </w:rPr>
        <w:fldChar w:fldCharType="begin"/>
      </w:r>
      <w:r>
        <w:rPr>
          <w:noProof/>
        </w:rPr>
        <w:instrText xml:space="preserve"> PAGEREF _Toc448741443 \h </w:instrText>
      </w:r>
      <w:r w:rsidR="00927113">
        <w:rPr>
          <w:noProof/>
        </w:rPr>
      </w:r>
      <w:r w:rsidR="00927113">
        <w:rPr>
          <w:noProof/>
        </w:rPr>
        <w:fldChar w:fldCharType="separate"/>
      </w:r>
      <w:r w:rsidR="006B1686">
        <w:rPr>
          <w:noProof/>
        </w:rPr>
        <w:t>181</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4.5.9</w:t>
      </w:r>
      <w:r>
        <w:rPr>
          <w:rFonts w:asciiTheme="minorHAnsi" w:eastAsiaTheme="minorEastAsia" w:hAnsiTheme="minorHAnsi" w:cstheme="minorBidi"/>
          <w:noProof/>
          <w:sz w:val="22"/>
          <w:szCs w:val="22"/>
        </w:rPr>
        <w:tab/>
      </w:r>
      <w:r>
        <w:rPr>
          <w:noProof/>
        </w:rPr>
        <w:t>Instalaciones térmicas</w:t>
      </w:r>
      <w:r>
        <w:rPr>
          <w:noProof/>
        </w:rPr>
        <w:tab/>
      </w:r>
      <w:r w:rsidR="00927113">
        <w:rPr>
          <w:noProof/>
        </w:rPr>
        <w:fldChar w:fldCharType="begin"/>
      </w:r>
      <w:r>
        <w:rPr>
          <w:noProof/>
        </w:rPr>
        <w:instrText xml:space="preserve"> PAGEREF _Toc448741444 \h </w:instrText>
      </w:r>
      <w:r w:rsidR="00927113">
        <w:rPr>
          <w:noProof/>
        </w:rPr>
      </w:r>
      <w:r w:rsidR="00927113">
        <w:rPr>
          <w:noProof/>
        </w:rPr>
        <w:fldChar w:fldCharType="separate"/>
      </w:r>
      <w:r w:rsidR="006B1686">
        <w:rPr>
          <w:noProof/>
        </w:rPr>
        <w:t>181</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4.5.10</w:t>
      </w:r>
      <w:r>
        <w:rPr>
          <w:rFonts w:asciiTheme="minorHAnsi" w:eastAsiaTheme="minorEastAsia" w:hAnsiTheme="minorHAnsi" w:cstheme="minorBidi"/>
          <w:noProof/>
          <w:sz w:val="22"/>
          <w:szCs w:val="22"/>
        </w:rPr>
        <w:tab/>
      </w:r>
      <w:r>
        <w:rPr>
          <w:noProof/>
        </w:rPr>
        <w:t>Instalaciones eléctricas</w:t>
      </w:r>
      <w:r>
        <w:rPr>
          <w:noProof/>
        </w:rPr>
        <w:tab/>
      </w:r>
      <w:r w:rsidR="00927113">
        <w:rPr>
          <w:noProof/>
        </w:rPr>
        <w:fldChar w:fldCharType="begin"/>
      </w:r>
      <w:r>
        <w:rPr>
          <w:noProof/>
        </w:rPr>
        <w:instrText xml:space="preserve"> PAGEREF _Toc448741445 \h </w:instrText>
      </w:r>
      <w:r w:rsidR="00927113">
        <w:rPr>
          <w:noProof/>
        </w:rPr>
      </w:r>
      <w:r w:rsidR="00927113">
        <w:rPr>
          <w:noProof/>
        </w:rPr>
        <w:fldChar w:fldCharType="separate"/>
      </w:r>
      <w:r w:rsidR="006B1686">
        <w:rPr>
          <w:noProof/>
        </w:rPr>
        <w:t>182</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4.6</w:t>
      </w:r>
      <w:r>
        <w:rPr>
          <w:rFonts w:asciiTheme="minorHAnsi" w:eastAsiaTheme="minorEastAsia" w:hAnsiTheme="minorHAnsi" w:cstheme="minorBidi"/>
          <w:noProof/>
          <w:szCs w:val="22"/>
        </w:rPr>
        <w:tab/>
      </w:r>
      <w:r w:rsidRPr="00DC18DE">
        <w:rPr>
          <w:noProof/>
        </w:rPr>
        <w:t>ACOMETIDAS</w:t>
      </w:r>
      <w:r>
        <w:rPr>
          <w:noProof/>
        </w:rPr>
        <w:tab/>
      </w:r>
      <w:r w:rsidR="00927113">
        <w:rPr>
          <w:noProof/>
        </w:rPr>
        <w:fldChar w:fldCharType="begin"/>
      </w:r>
      <w:r>
        <w:rPr>
          <w:noProof/>
        </w:rPr>
        <w:instrText xml:space="preserve"> PAGEREF _Toc448741446 \h </w:instrText>
      </w:r>
      <w:r w:rsidR="00927113">
        <w:rPr>
          <w:noProof/>
        </w:rPr>
      </w:r>
      <w:r w:rsidR="00927113">
        <w:rPr>
          <w:noProof/>
        </w:rPr>
        <w:fldChar w:fldCharType="separate"/>
      </w:r>
      <w:r w:rsidR="006B1686">
        <w:rPr>
          <w:noProof/>
        </w:rPr>
        <w:t>183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4.6.1</w:t>
      </w:r>
      <w:r>
        <w:rPr>
          <w:rFonts w:asciiTheme="minorHAnsi" w:eastAsiaTheme="minorEastAsia" w:hAnsiTheme="minorHAnsi" w:cstheme="minorBidi"/>
          <w:noProof/>
          <w:sz w:val="22"/>
          <w:szCs w:val="22"/>
        </w:rPr>
        <w:tab/>
      </w:r>
      <w:r>
        <w:rPr>
          <w:noProof/>
        </w:rPr>
        <w:t>Acometidas</w:t>
      </w:r>
      <w:r>
        <w:rPr>
          <w:noProof/>
        </w:rPr>
        <w:tab/>
      </w:r>
      <w:r w:rsidR="00927113">
        <w:rPr>
          <w:noProof/>
        </w:rPr>
        <w:fldChar w:fldCharType="begin"/>
      </w:r>
      <w:r>
        <w:rPr>
          <w:noProof/>
        </w:rPr>
        <w:instrText xml:space="preserve"> PAGEREF _Toc448741447 \h </w:instrText>
      </w:r>
      <w:r w:rsidR="00927113">
        <w:rPr>
          <w:noProof/>
        </w:rPr>
      </w:r>
      <w:r w:rsidR="00927113">
        <w:rPr>
          <w:noProof/>
        </w:rPr>
        <w:fldChar w:fldCharType="separate"/>
      </w:r>
      <w:r w:rsidR="006B1686">
        <w:rPr>
          <w:noProof/>
        </w:rPr>
        <w:t>183</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4.7</w:t>
      </w:r>
      <w:r>
        <w:rPr>
          <w:rFonts w:asciiTheme="minorHAnsi" w:eastAsiaTheme="minorEastAsia" w:hAnsiTheme="minorHAnsi" w:cstheme="minorBidi"/>
          <w:noProof/>
          <w:szCs w:val="22"/>
        </w:rPr>
        <w:tab/>
      </w:r>
      <w:r w:rsidRPr="00DC18DE">
        <w:rPr>
          <w:noProof/>
        </w:rPr>
        <w:t>ALOJAMIENTOS</w:t>
      </w:r>
      <w:r>
        <w:rPr>
          <w:noProof/>
        </w:rPr>
        <w:tab/>
      </w:r>
      <w:r w:rsidR="00927113">
        <w:rPr>
          <w:noProof/>
        </w:rPr>
        <w:fldChar w:fldCharType="begin"/>
      </w:r>
      <w:r>
        <w:rPr>
          <w:noProof/>
        </w:rPr>
        <w:instrText xml:space="preserve"> PAGEREF _Toc448741448 \h </w:instrText>
      </w:r>
      <w:r w:rsidR="00927113">
        <w:rPr>
          <w:noProof/>
        </w:rPr>
      </w:r>
      <w:r w:rsidR="00927113">
        <w:rPr>
          <w:noProof/>
        </w:rPr>
        <w:fldChar w:fldCharType="separate"/>
      </w:r>
      <w:r w:rsidR="006B1686">
        <w:rPr>
          <w:noProof/>
        </w:rPr>
        <w:t>184</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4.7.1</w:t>
      </w:r>
      <w:r>
        <w:rPr>
          <w:rFonts w:asciiTheme="minorHAnsi" w:eastAsiaTheme="minorEastAsia" w:hAnsiTheme="minorHAnsi" w:cstheme="minorBidi"/>
          <w:noProof/>
          <w:sz w:val="22"/>
          <w:szCs w:val="22"/>
        </w:rPr>
        <w:tab/>
      </w:r>
      <w:r>
        <w:rPr>
          <w:noProof/>
        </w:rPr>
        <w:t>Pozos</w:t>
      </w:r>
      <w:r>
        <w:rPr>
          <w:noProof/>
        </w:rPr>
        <w:tab/>
      </w:r>
      <w:r w:rsidR="00927113">
        <w:rPr>
          <w:noProof/>
        </w:rPr>
        <w:fldChar w:fldCharType="begin"/>
      </w:r>
      <w:r>
        <w:rPr>
          <w:noProof/>
        </w:rPr>
        <w:instrText xml:space="preserve"> PAGEREF _Toc448741449 \h </w:instrText>
      </w:r>
      <w:r w:rsidR="00927113">
        <w:rPr>
          <w:noProof/>
        </w:rPr>
      </w:r>
      <w:r w:rsidR="00927113">
        <w:rPr>
          <w:noProof/>
        </w:rPr>
        <w:fldChar w:fldCharType="separate"/>
      </w:r>
      <w:r w:rsidR="006B1686">
        <w:rPr>
          <w:noProof/>
        </w:rPr>
        <w:t>184</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4.7.2</w:t>
      </w:r>
      <w:r>
        <w:rPr>
          <w:rFonts w:asciiTheme="minorHAnsi" w:eastAsiaTheme="minorEastAsia" w:hAnsiTheme="minorHAnsi" w:cstheme="minorBidi"/>
          <w:noProof/>
          <w:sz w:val="22"/>
          <w:szCs w:val="22"/>
        </w:rPr>
        <w:tab/>
      </w:r>
      <w:r>
        <w:rPr>
          <w:noProof/>
        </w:rPr>
        <w:t>Arquetas</w:t>
      </w:r>
      <w:r>
        <w:rPr>
          <w:noProof/>
        </w:rPr>
        <w:tab/>
      </w:r>
      <w:r w:rsidR="00927113">
        <w:rPr>
          <w:noProof/>
        </w:rPr>
        <w:fldChar w:fldCharType="begin"/>
      </w:r>
      <w:r>
        <w:rPr>
          <w:noProof/>
        </w:rPr>
        <w:instrText xml:space="preserve"> PAGEREF _Toc448741450 \h </w:instrText>
      </w:r>
      <w:r w:rsidR="00927113">
        <w:rPr>
          <w:noProof/>
        </w:rPr>
      </w:r>
      <w:r w:rsidR="00927113">
        <w:rPr>
          <w:noProof/>
        </w:rPr>
        <w:fldChar w:fldCharType="separate"/>
      </w:r>
      <w:r w:rsidR="006B1686">
        <w:rPr>
          <w:noProof/>
        </w:rPr>
        <w:t>185</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4.7.3</w:t>
      </w:r>
      <w:r>
        <w:rPr>
          <w:rFonts w:asciiTheme="minorHAnsi" w:eastAsiaTheme="minorEastAsia" w:hAnsiTheme="minorHAnsi" w:cstheme="minorBidi"/>
          <w:noProof/>
          <w:sz w:val="22"/>
          <w:szCs w:val="22"/>
        </w:rPr>
        <w:tab/>
      </w:r>
      <w:r>
        <w:rPr>
          <w:noProof/>
        </w:rPr>
        <w:t>Cámaras</w:t>
      </w:r>
      <w:r>
        <w:rPr>
          <w:noProof/>
        </w:rPr>
        <w:tab/>
      </w:r>
      <w:r w:rsidR="00927113">
        <w:rPr>
          <w:noProof/>
        </w:rPr>
        <w:fldChar w:fldCharType="begin"/>
      </w:r>
      <w:r>
        <w:rPr>
          <w:noProof/>
        </w:rPr>
        <w:instrText xml:space="preserve"> PAGEREF _Toc448741451 \h </w:instrText>
      </w:r>
      <w:r w:rsidR="00927113">
        <w:rPr>
          <w:noProof/>
        </w:rPr>
      </w:r>
      <w:r w:rsidR="00927113">
        <w:rPr>
          <w:noProof/>
        </w:rPr>
        <w:fldChar w:fldCharType="separate"/>
      </w:r>
      <w:r w:rsidR="006B1686">
        <w:rPr>
          <w:noProof/>
        </w:rPr>
        <w:t>186</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4.7.4</w:t>
      </w:r>
      <w:r>
        <w:rPr>
          <w:rFonts w:asciiTheme="minorHAnsi" w:eastAsiaTheme="minorEastAsia" w:hAnsiTheme="minorHAnsi" w:cstheme="minorBidi"/>
          <w:noProof/>
          <w:sz w:val="22"/>
          <w:szCs w:val="22"/>
        </w:rPr>
        <w:tab/>
      </w:r>
      <w:r>
        <w:rPr>
          <w:noProof/>
        </w:rPr>
        <w:t>Dispositivos de cubrimiento de pozos, arquetas y cámaras</w:t>
      </w:r>
      <w:r>
        <w:rPr>
          <w:noProof/>
        </w:rPr>
        <w:tab/>
      </w:r>
      <w:r w:rsidR="00927113">
        <w:rPr>
          <w:noProof/>
        </w:rPr>
        <w:fldChar w:fldCharType="begin"/>
      </w:r>
      <w:r>
        <w:rPr>
          <w:noProof/>
        </w:rPr>
        <w:instrText xml:space="preserve"> PAGEREF _Toc448741452 \h </w:instrText>
      </w:r>
      <w:r w:rsidR="00927113">
        <w:rPr>
          <w:noProof/>
        </w:rPr>
      </w:r>
      <w:r w:rsidR="00927113">
        <w:rPr>
          <w:noProof/>
        </w:rPr>
        <w:fldChar w:fldCharType="separate"/>
      </w:r>
      <w:r w:rsidR="006B1686">
        <w:rPr>
          <w:noProof/>
        </w:rPr>
        <w:t>186</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4.7.5</w:t>
      </w:r>
      <w:r>
        <w:rPr>
          <w:rFonts w:asciiTheme="minorHAnsi" w:eastAsiaTheme="minorEastAsia" w:hAnsiTheme="minorHAnsi" w:cstheme="minorBidi"/>
          <w:noProof/>
          <w:sz w:val="22"/>
          <w:szCs w:val="22"/>
        </w:rPr>
        <w:tab/>
      </w:r>
      <w:r>
        <w:rPr>
          <w:noProof/>
        </w:rPr>
        <w:t>Elementos complementarios</w:t>
      </w:r>
      <w:r>
        <w:rPr>
          <w:noProof/>
        </w:rPr>
        <w:tab/>
      </w:r>
      <w:r w:rsidR="00927113">
        <w:rPr>
          <w:noProof/>
        </w:rPr>
        <w:fldChar w:fldCharType="begin"/>
      </w:r>
      <w:r>
        <w:rPr>
          <w:noProof/>
        </w:rPr>
        <w:instrText xml:space="preserve"> PAGEREF _Toc448741453 \h </w:instrText>
      </w:r>
      <w:r w:rsidR="00927113">
        <w:rPr>
          <w:noProof/>
        </w:rPr>
      </w:r>
      <w:r w:rsidR="00927113">
        <w:rPr>
          <w:noProof/>
        </w:rPr>
        <w:fldChar w:fldCharType="separate"/>
      </w:r>
      <w:r w:rsidR="006B1686">
        <w:rPr>
          <w:noProof/>
        </w:rPr>
        <w:t>188</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4.8</w:t>
      </w:r>
      <w:r>
        <w:rPr>
          <w:rFonts w:asciiTheme="minorHAnsi" w:eastAsiaTheme="minorEastAsia" w:hAnsiTheme="minorHAnsi" w:cstheme="minorBidi"/>
          <w:noProof/>
          <w:szCs w:val="22"/>
        </w:rPr>
        <w:tab/>
      </w:r>
      <w:r w:rsidRPr="00DC18DE">
        <w:rPr>
          <w:noProof/>
        </w:rPr>
        <w:t>FIRMES Y URBANIZACIÓN</w:t>
      </w:r>
      <w:r>
        <w:rPr>
          <w:noProof/>
        </w:rPr>
        <w:tab/>
      </w:r>
      <w:r w:rsidR="00927113">
        <w:rPr>
          <w:noProof/>
        </w:rPr>
        <w:fldChar w:fldCharType="begin"/>
      </w:r>
      <w:r>
        <w:rPr>
          <w:noProof/>
        </w:rPr>
        <w:instrText xml:space="preserve"> PAGEREF _Toc448741454 \h </w:instrText>
      </w:r>
      <w:r w:rsidR="00927113">
        <w:rPr>
          <w:noProof/>
        </w:rPr>
      </w:r>
      <w:r w:rsidR="00927113">
        <w:rPr>
          <w:noProof/>
        </w:rPr>
        <w:fldChar w:fldCharType="separate"/>
      </w:r>
      <w:r w:rsidR="006B1686">
        <w:rPr>
          <w:noProof/>
        </w:rPr>
        <w:t>192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4.8.1</w:t>
      </w:r>
      <w:r>
        <w:rPr>
          <w:rFonts w:asciiTheme="minorHAnsi" w:eastAsiaTheme="minorEastAsia" w:hAnsiTheme="minorHAnsi" w:cstheme="minorBidi"/>
          <w:noProof/>
          <w:sz w:val="22"/>
          <w:szCs w:val="22"/>
        </w:rPr>
        <w:tab/>
      </w:r>
      <w:r>
        <w:rPr>
          <w:noProof/>
        </w:rPr>
        <w:t>Firmes granulares</w:t>
      </w:r>
      <w:r>
        <w:rPr>
          <w:noProof/>
        </w:rPr>
        <w:tab/>
      </w:r>
      <w:r w:rsidR="00927113">
        <w:rPr>
          <w:noProof/>
        </w:rPr>
        <w:fldChar w:fldCharType="begin"/>
      </w:r>
      <w:r>
        <w:rPr>
          <w:noProof/>
        </w:rPr>
        <w:instrText xml:space="preserve"> PAGEREF _Toc448741455 \h </w:instrText>
      </w:r>
      <w:r w:rsidR="00927113">
        <w:rPr>
          <w:noProof/>
        </w:rPr>
      </w:r>
      <w:r w:rsidR="00927113">
        <w:rPr>
          <w:noProof/>
        </w:rPr>
        <w:fldChar w:fldCharType="separate"/>
      </w:r>
      <w:r w:rsidR="006B1686">
        <w:rPr>
          <w:noProof/>
        </w:rPr>
        <w:t>192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4.8.2</w:t>
      </w:r>
      <w:r>
        <w:rPr>
          <w:rFonts w:asciiTheme="minorHAnsi" w:eastAsiaTheme="minorEastAsia" w:hAnsiTheme="minorHAnsi" w:cstheme="minorBidi"/>
          <w:noProof/>
          <w:sz w:val="22"/>
          <w:szCs w:val="22"/>
        </w:rPr>
        <w:tab/>
      </w:r>
      <w:r>
        <w:rPr>
          <w:noProof/>
        </w:rPr>
        <w:t>Bordillos, adoquinados y aceras</w:t>
      </w:r>
      <w:r>
        <w:rPr>
          <w:noProof/>
        </w:rPr>
        <w:tab/>
      </w:r>
      <w:r w:rsidR="00927113">
        <w:rPr>
          <w:noProof/>
        </w:rPr>
        <w:fldChar w:fldCharType="begin"/>
      </w:r>
      <w:r>
        <w:rPr>
          <w:noProof/>
        </w:rPr>
        <w:instrText xml:space="preserve"> PAGEREF _Toc448741456 \h </w:instrText>
      </w:r>
      <w:r w:rsidR="00927113">
        <w:rPr>
          <w:noProof/>
        </w:rPr>
      </w:r>
      <w:r w:rsidR="00927113">
        <w:rPr>
          <w:noProof/>
        </w:rPr>
        <w:fldChar w:fldCharType="separate"/>
      </w:r>
      <w:r w:rsidR="006B1686">
        <w:rPr>
          <w:noProof/>
        </w:rPr>
        <w:t>196</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4.8.3</w:t>
      </w:r>
      <w:r>
        <w:rPr>
          <w:rFonts w:asciiTheme="minorHAnsi" w:eastAsiaTheme="minorEastAsia" w:hAnsiTheme="minorHAnsi" w:cstheme="minorBidi"/>
          <w:noProof/>
          <w:sz w:val="22"/>
          <w:szCs w:val="22"/>
        </w:rPr>
        <w:tab/>
      </w:r>
      <w:r>
        <w:rPr>
          <w:noProof/>
        </w:rPr>
        <w:t>Riegos</w:t>
      </w:r>
      <w:r>
        <w:rPr>
          <w:noProof/>
        </w:rPr>
        <w:tab/>
      </w:r>
      <w:r w:rsidR="00927113">
        <w:rPr>
          <w:noProof/>
        </w:rPr>
        <w:fldChar w:fldCharType="begin"/>
      </w:r>
      <w:r>
        <w:rPr>
          <w:noProof/>
        </w:rPr>
        <w:instrText xml:space="preserve"> PAGEREF _Toc448741457 \h </w:instrText>
      </w:r>
      <w:r w:rsidR="00927113">
        <w:rPr>
          <w:noProof/>
        </w:rPr>
      </w:r>
      <w:r w:rsidR="00927113">
        <w:rPr>
          <w:noProof/>
        </w:rPr>
        <w:fldChar w:fldCharType="separate"/>
      </w:r>
      <w:r w:rsidR="006B1686">
        <w:rPr>
          <w:noProof/>
        </w:rPr>
        <w:t>200</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4.8.4</w:t>
      </w:r>
      <w:r>
        <w:rPr>
          <w:rFonts w:asciiTheme="minorHAnsi" w:eastAsiaTheme="minorEastAsia" w:hAnsiTheme="minorHAnsi" w:cstheme="minorBidi"/>
          <w:noProof/>
          <w:sz w:val="22"/>
          <w:szCs w:val="22"/>
        </w:rPr>
        <w:tab/>
      </w:r>
      <w:r>
        <w:rPr>
          <w:noProof/>
        </w:rPr>
        <w:t>Mezclas bituminosas</w:t>
      </w:r>
      <w:r>
        <w:rPr>
          <w:noProof/>
        </w:rPr>
        <w:tab/>
      </w:r>
      <w:r w:rsidR="00927113">
        <w:rPr>
          <w:noProof/>
        </w:rPr>
        <w:fldChar w:fldCharType="begin"/>
      </w:r>
      <w:r>
        <w:rPr>
          <w:noProof/>
        </w:rPr>
        <w:instrText xml:space="preserve"> PAGEREF _Toc448741458 \h </w:instrText>
      </w:r>
      <w:r w:rsidR="00927113">
        <w:rPr>
          <w:noProof/>
        </w:rPr>
      </w:r>
      <w:r w:rsidR="00927113">
        <w:rPr>
          <w:noProof/>
        </w:rPr>
        <w:fldChar w:fldCharType="separate"/>
      </w:r>
      <w:r w:rsidR="006B1686">
        <w:rPr>
          <w:noProof/>
        </w:rPr>
        <w:t>202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4.8.5</w:t>
      </w:r>
      <w:r>
        <w:rPr>
          <w:rFonts w:asciiTheme="minorHAnsi" w:eastAsiaTheme="minorEastAsia" w:hAnsiTheme="minorHAnsi" w:cstheme="minorBidi"/>
          <w:noProof/>
          <w:sz w:val="22"/>
          <w:szCs w:val="22"/>
        </w:rPr>
        <w:tab/>
      </w:r>
      <w:r>
        <w:rPr>
          <w:noProof/>
        </w:rPr>
        <w:t>Hormigón en firmes</w:t>
      </w:r>
      <w:r>
        <w:rPr>
          <w:noProof/>
        </w:rPr>
        <w:tab/>
      </w:r>
      <w:r w:rsidR="00927113">
        <w:rPr>
          <w:noProof/>
        </w:rPr>
        <w:fldChar w:fldCharType="begin"/>
      </w:r>
      <w:r>
        <w:rPr>
          <w:noProof/>
        </w:rPr>
        <w:instrText xml:space="preserve"> PAGEREF _Toc448741459 \h </w:instrText>
      </w:r>
      <w:r w:rsidR="00927113">
        <w:rPr>
          <w:noProof/>
        </w:rPr>
      </w:r>
      <w:r w:rsidR="00927113">
        <w:rPr>
          <w:noProof/>
        </w:rPr>
        <w:fldChar w:fldCharType="separate"/>
      </w:r>
      <w:r w:rsidR="006B1686">
        <w:rPr>
          <w:noProof/>
        </w:rPr>
        <w:t>204</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4.8.6</w:t>
      </w:r>
      <w:r>
        <w:rPr>
          <w:rFonts w:asciiTheme="minorHAnsi" w:eastAsiaTheme="minorEastAsia" w:hAnsiTheme="minorHAnsi" w:cstheme="minorBidi"/>
          <w:noProof/>
          <w:sz w:val="22"/>
          <w:szCs w:val="22"/>
        </w:rPr>
        <w:tab/>
      </w:r>
      <w:r>
        <w:rPr>
          <w:noProof/>
        </w:rPr>
        <w:t>Drenes subterráneos</w:t>
      </w:r>
      <w:r>
        <w:rPr>
          <w:noProof/>
        </w:rPr>
        <w:tab/>
      </w:r>
      <w:r w:rsidR="00927113">
        <w:rPr>
          <w:noProof/>
        </w:rPr>
        <w:fldChar w:fldCharType="begin"/>
      </w:r>
      <w:r>
        <w:rPr>
          <w:noProof/>
        </w:rPr>
        <w:instrText xml:space="preserve"> PAGEREF _Toc448741460 \h </w:instrText>
      </w:r>
      <w:r w:rsidR="00927113">
        <w:rPr>
          <w:noProof/>
        </w:rPr>
      </w:r>
      <w:r w:rsidR="00927113">
        <w:rPr>
          <w:noProof/>
        </w:rPr>
        <w:fldChar w:fldCharType="separate"/>
      </w:r>
      <w:r w:rsidR="006B1686">
        <w:rPr>
          <w:noProof/>
        </w:rPr>
        <w:t>205</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4.8.7</w:t>
      </w:r>
      <w:r>
        <w:rPr>
          <w:rFonts w:asciiTheme="minorHAnsi" w:eastAsiaTheme="minorEastAsia" w:hAnsiTheme="minorHAnsi" w:cstheme="minorBidi"/>
          <w:noProof/>
          <w:sz w:val="22"/>
          <w:szCs w:val="22"/>
        </w:rPr>
        <w:tab/>
      </w:r>
      <w:r>
        <w:rPr>
          <w:noProof/>
        </w:rPr>
        <w:t>Cunetas</w:t>
      </w:r>
      <w:r>
        <w:rPr>
          <w:noProof/>
        </w:rPr>
        <w:tab/>
      </w:r>
      <w:r w:rsidR="00927113">
        <w:rPr>
          <w:noProof/>
        </w:rPr>
        <w:fldChar w:fldCharType="begin"/>
      </w:r>
      <w:r>
        <w:rPr>
          <w:noProof/>
        </w:rPr>
        <w:instrText xml:space="preserve"> PAGEREF _Toc448741461 \h </w:instrText>
      </w:r>
      <w:r w:rsidR="00927113">
        <w:rPr>
          <w:noProof/>
        </w:rPr>
      </w:r>
      <w:r w:rsidR="00927113">
        <w:rPr>
          <w:noProof/>
        </w:rPr>
        <w:fldChar w:fldCharType="separate"/>
      </w:r>
      <w:r w:rsidR="006B1686">
        <w:rPr>
          <w:noProof/>
        </w:rPr>
        <w:t>206</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lastRenderedPageBreak/>
        <w:t>Artículo 4.8.8</w:t>
      </w:r>
      <w:r>
        <w:rPr>
          <w:rFonts w:asciiTheme="minorHAnsi" w:eastAsiaTheme="minorEastAsia" w:hAnsiTheme="minorHAnsi" w:cstheme="minorBidi"/>
          <w:noProof/>
          <w:sz w:val="22"/>
          <w:szCs w:val="22"/>
        </w:rPr>
        <w:tab/>
      </w:r>
      <w:r>
        <w:rPr>
          <w:noProof/>
        </w:rPr>
        <w:t>Señalización</w:t>
      </w:r>
      <w:r>
        <w:rPr>
          <w:noProof/>
        </w:rPr>
        <w:tab/>
      </w:r>
      <w:r w:rsidR="00927113">
        <w:rPr>
          <w:noProof/>
        </w:rPr>
        <w:fldChar w:fldCharType="begin"/>
      </w:r>
      <w:r>
        <w:rPr>
          <w:noProof/>
        </w:rPr>
        <w:instrText xml:space="preserve"> PAGEREF _Toc448741462 \h </w:instrText>
      </w:r>
      <w:r w:rsidR="00927113">
        <w:rPr>
          <w:noProof/>
        </w:rPr>
      </w:r>
      <w:r w:rsidR="00927113">
        <w:rPr>
          <w:noProof/>
        </w:rPr>
        <w:fldChar w:fldCharType="separate"/>
      </w:r>
      <w:r w:rsidR="006B1686">
        <w:rPr>
          <w:noProof/>
        </w:rPr>
        <w:t>206</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4.8.9</w:t>
      </w:r>
      <w:r>
        <w:rPr>
          <w:rFonts w:asciiTheme="minorHAnsi" w:eastAsiaTheme="minorEastAsia" w:hAnsiTheme="minorHAnsi" w:cstheme="minorBidi"/>
          <w:noProof/>
          <w:sz w:val="22"/>
          <w:szCs w:val="22"/>
        </w:rPr>
        <w:tab/>
      </w:r>
      <w:r>
        <w:rPr>
          <w:noProof/>
        </w:rPr>
        <w:t>Cerramiento</w:t>
      </w:r>
      <w:r>
        <w:rPr>
          <w:noProof/>
        </w:rPr>
        <w:tab/>
      </w:r>
      <w:r w:rsidR="00927113">
        <w:rPr>
          <w:noProof/>
        </w:rPr>
        <w:fldChar w:fldCharType="begin"/>
      </w:r>
      <w:r>
        <w:rPr>
          <w:noProof/>
        </w:rPr>
        <w:instrText xml:space="preserve"> PAGEREF _Toc448741463 \h </w:instrText>
      </w:r>
      <w:r w:rsidR="00927113">
        <w:rPr>
          <w:noProof/>
        </w:rPr>
      </w:r>
      <w:r w:rsidR="00927113">
        <w:rPr>
          <w:noProof/>
        </w:rPr>
        <w:fldChar w:fldCharType="separate"/>
      </w:r>
      <w:r w:rsidR="006B1686">
        <w:rPr>
          <w:noProof/>
        </w:rPr>
        <w:t>207</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4.9</w:t>
      </w:r>
      <w:r>
        <w:rPr>
          <w:rFonts w:asciiTheme="minorHAnsi" w:eastAsiaTheme="minorEastAsia" w:hAnsiTheme="minorHAnsi" w:cstheme="minorBidi"/>
          <w:noProof/>
          <w:szCs w:val="22"/>
        </w:rPr>
        <w:tab/>
      </w:r>
      <w:r w:rsidRPr="00DC18DE">
        <w:rPr>
          <w:noProof/>
        </w:rPr>
        <w:t>JARDINERÍA</w:t>
      </w:r>
      <w:r>
        <w:rPr>
          <w:noProof/>
        </w:rPr>
        <w:tab/>
      </w:r>
      <w:r w:rsidR="00927113">
        <w:rPr>
          <w:noProof/>
        </w:rPr>
        <w:fldChar w:fldCharType="begin"/>
      </w:r>
      <w:r>
        <w:rPr>
          <w:noProof/>
        </w:rPr>
        <w:instrText xml:space="preserve"> PAGEREF _Toc448741464 \h </w:instrText>
      </w:r>
      <w:r w:rsidR="00927113">
        <w:rPr>
          <w:noProof/>
        </w:rPr>
      </w:r>
      <w:r w:rsidR="00927113">
        <w:rPr>
          <w:noProof/>
        </w:rPr>
        <w:fldChar w:fldCharType="separate"/>
      </w:r>
      <w:r w:rsidR="006B1686">
        <w:rPr>
          <w:noProof/>
        </w:rPr>
        <w:t>208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4.9.1</w:t>
      </w:r>
      <w:r>
        <w:rPr>
          <w:rFonts w:asciiTheme="minorHAnsi" w:eastAsiaTheme="minorEastAsia" w:hAnsiTheme="minorHAnsi" w:cstheme="minorBidi"/>
          <w:noProof/>
          <w:sz w:val="22"/>
          <w:szCs w:val="22"/>
        </w:rPr>
        <w:tab/>
      </w:r>
      <w:r>
        <w:rPr>
          <w:noProof/>
        </w:rPr>
        <w:t>Preparación del terreno</w:t>
      </w:r>
      <w:r>
        <w:rPr>
          <w:noProof/>
        </w:rPr>
        <w:tab/>
      </w:r>
      <w:r w:rsidR="00927113">
        <w:rPr>
          <w:noProof/>
        </w:rPr>
        <w:fldChar w:fldCharType="begin"/>
      </w:r>
      <w:r>
        <w:rPr>
          <w:noProof/>
        </w:rPr>
        <w:instrText xml:space="preserve"> PAGEREF _Toc448741465 \h </w:instrText>
      </w:r>
      <w:r w:rsidR="00927113">
        <w:rPr>
          <w:noProof/>
        </w:rPr>
      </w:r>
      <w:r w:rsidR="00927113">
        <w:rPr>
          <w:noProof/>
        </w:rPr>
        <w:fldChar w:fldCharType="separate"/>
      </w:r>
      <w:r w:rsidR="006B1686">
        <w:rPr>
          <w:noProof/>
        </w:rPr>
        <w:t>208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4.9.2</w:t>
      </w:r>
      <w:r>
        <w:rPr>
          <w:rFonts w:asciiTheme="minorHAnsi" w:eastAsiaTheme="minorEastAsia" w:hAnsiTheme="minorHAnsi" w:cstheme="minorBidi"/>
          <w:noProof/>
          <w:sz w:val="22"/>
          <w:szCs w:val="22"/>
        </w:rPr>
        <w:tab/>
      </w:r>
      <w:r>
        <w:rPr>
          <w:noProof/>
        </w:rPr>
        <w:t>Tuberías de riego</w:t>
      </w:r>
      <w:r>
        <w:rPr>
          <w:noProof/>
        </w:rPr>
        <w:tab/>
      </w:r>
      <w:r w:rsidR="00927113">
        <w:rPr>
          <w:noProof/>
        </w:rPr>
        <w:fldChar w:fldCharType="begin"/>
      </w:r>
      <w:r>
        <w:rPr>
          <w:noProof/>
        </w:rPr>
        <w:instrText xml:space="preserve"> PAGEREF _Toc448741466 \h </w:instrText>
      </w:r>
      <w:r w:rsidR="00927113">
        <w:rPr>
          <w:noProof/>
        </w:rPr>
      </w:r>
      <w:r w:rsidR="00927113">
        <w:rPr>
          <w:noProof/>
        </w:rPr>
        <w:fldChar w:fldCharType="separate"/>
      </w:r>
      <w:r w:rsidR="006B1686">
        <w:rPr>
          <w:noProof/>
        </w:rPr>
        <w:t>210</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4.9.3</w:t>
      </w:r>
      <w:r>
        <w:rPr>
          <w:rFonts w:asciiTheme="minorHAnsi" w:eastAsiaTheme="minorEastAsia" w:hAnsiTheme="minorHAnsi" w:cstheme="minorBidi"/>
          <w:noProof/>
          <w:sz w:val="22"/>
          <w:szCs w:val="22"/>
        </w:rPr>
        <w:tab/>
      </w:r>
      <w:r>
        <w:rPr>
          <w:noProof/>
        </w:rPr>
        <w:t>Plantaciones</w:t>
      </w:r>
      <w:r>
        <w:rPr>
          <w:noProof/>
        </w:rPr>
        <w:tab/>
      </w:r>
      <w:r w:rsidR="00927113">
        <w:rPr>
          <w:noProof/>
        </w:rPr>
        <w:fldChar w:fldCharType="begin"/>
      </w:r>
      <w:r>
        <w:rPr>
          <w:noProof/>
        </w:rPr>
        <w:instrText xml:space="preserve"> PAGEREF _Toc448741467 \h </w:instrText>
      </w:r>
      <w:r w:rsidR="00927113">
        <w:rPr>
          <w:noProof/>
        </w:rPr>
      </w:r>
      <w:r w:rsidR="00927113">
        <w:rPr>
          <w:noProof/>
        </w:rPr>
        <w:fldChar w:fldCharType="separate"/>
      </w:r>
      <w:r w:rsidR="006B1686">
        <w:rPr>
          <w:noProof/>
        </w:rPr>
        <w:t>211</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4.9.4</w:t>
      </w:r>
      <w:r>
        <w:rPr>
          <w:rFonts w:asciiTheme="minorHAnsi" w:eastAsiaTheme="minorEastAsia" w:hAnsiTheme="minorHAnsi" w:cstheme="minorBidi"/>
          <w:noProof/>
          <w:sz w:val="22"/>
          <w:szCs w:val="22"/>
        </w:rPr>
        <w:tab/>
      </w:r>
      <w:r>
        <w:rPr>
          <w:noProof/>
        </w:rPr>
        <w:t>Siembras e hidrosiembras</w:t>
      </w:r>
      <w:r>
        <w:rPr>
          <w:noProof/>
        </w:rPr>
        <w:tab/>
      </w:r>
      <w:r w:rsidR="00927113">
        <w:rPr>
          <w:noProof/>
        </w:rPr>
        <w:fldChar w:fldCharType="begin"/>
      </w:r>
      <w:r>
        <w:rPr>
          <w:noProof/>
        </w:rPr>
        <w:instrText xml:space="preserve"> PAGEREF _Toc448741468 \h </w:instrText>
      </w:r>
      <w:r w:rsidR="00927113">
        <w:rPr>
          <w:noProof/>
        </w:rPr>
      </w:r>
      <w:r w:rsidR="00927113">
        <w:rPr>
          <w:noProof/>
        </w:rPr>
        <w:fldChar w:fldCharType="separate"/>
      </w:r>
      <w:r w:rsidR="006B1686">
        <w:rPr>
          <w:noProof/>
        </w:rPr>
        <w:t>215</w:t>
      </w:r>
      <w:r w:rsidR="00927113">
        <w:rPr>
          <w:noProof/>
        </w:rPr>
        <w:fldChar w:fldCharType="end"/>
      </w:r>
    </w:p>
    <w:p w:rsidR="00360671" w:rsidRDefault="00360671">
      <w:pPr>
        <w:pStyle w:val="TDC2"/>
        <w:tabs>
          <w:tab w:val="left" w:pos="2500"/>
        </w:tabs>
        <w:rPr>
          <w:rFonts w:asciiTheme="minorHAnsi" w:eastAsiaTheme="minorEastAsia" w:hAnsiTheme="minorHAnsi" w:cstheme="minorBidi"/>
          <w:noProof/>
          <w:szCs w:val="22"/>
        </w:rPr>
      </w:pPr>
      <w:r w:rsidRPr="00DC18DE">
        <w:rPr>
          <w:rFonts w:cs="Arial"/>
          <w:noProof/>
        </w:rPr>
        <w:t>SUBCAPÍTULO 4.10</w:t>
      </w:r>
      <w:r>
        <w:rPr>
          <w:rFonts w:asciiTheme="minorHAnsi" w:eastAsiaTheme="minorEastAsia" w:hAnsiTheme="minorHAnsi" w:cstheme="minorBidi"/>
          <w:noProof/>
          <w:szCs w:val="22"/>
        </w:rPr>
        <w:tab/>
      </w:r>
      <w:r w:rsidRPr="00DC18DE">
        <w:rPr>
          <w:noProof/>
        </w:rPr>
        <w:t>OTROS</w:t>
      </w:r>
      <w:r>
        <w:rPr>
          <w:noProof/>
        </w:rPr>
        <w:tab/>
      </w:r>
      <w:r w:rsidR="00927113">
        <w:rPr>
          <w:noProof/>
        </w:rPr>
        <w:fldChar w:fldCharType="begin"/>
      </w:r>
      <w:r>
        <w:rPr>
          <w:noProof/>
        </w:rPr>
        <w:instrText xml:space="preserve"> PAGEREF _Toc448741469 \h </w:instrText>
      </w:r>
      <w:r w:rsidR="00927113">
        <w:rPr>
          <w:noProof/>
        </w:rPr>
      </w:r>
      <w:r w:rsidR="00927113">
        <w:rPr>
          <w:noProof/>
        </w:rPr>
        <w:fldChar w:fldCharType="separate"/>
      </w:r>
      <w:r w:rsidR="006B1686">
        <w:rPr>
          <w:noProof/>
        </w:rPr>
        <w:t>219</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4.10.1</w:t>
      </w:r>
      <w:r>
        <w:rPr>
          <w:rFonts w:asciiTheme="minorHAnsi" w:eastAsiaTheme="minorEastAsia" w:hAnsiTheme="minorHAnsi" w:cstheme="minorBidi"/>
          <w:noProof/>
          <w:sz w:val="22"/>
          <w:szCs w:val="22"/>
        </w:rPr>
        <w:tab/>
      </w:r>
      <w:r>
        <w:rPr>
          <w:noProof/>
        </w:rPr>
        <w:t>Dovelas prefabricadas</w:t>
      </w:r>
      <w:r>
        <w:rPr>
          <w:noProof/>
        </w:rPr>
        <w:tab/>
      </w:r>
      <w:r w:rsidR="00927113">
        <w:rPr>
          <w:noProof/>
        </w:rPr>
        <w:fldChar w:fldCharType="begin"/>
      </w:r>
      <w:r>
        <w:rPr>
          <w:noProof/>
        </w:rPr>
        <w:instrText xml:space="preserve"> PAGEREF _Toc448741470 \h </w:instrText>
      </w:r>
      <w:r w:rsidR="00927113">
        <w:rPr>
          <w:noProof/>
        </w:rPr>
      </w:r>
      <w:r w:rsidR="00927113">
        <w:rPr>
          <w:noProof/>
        </w:rPr>
        <w:fldChar w:fldCharType="separate"/>
      </w:r>
      <w:r w:rsidR="006B1686">
        <w:rPr>
          <w:noProof/>
        </w:rPr>
        <w:t>219</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4.10.2</w:t>
      </w:r>
      <w:r>
        <w:rPr>
          <w:rFonts w:asciiTheme="minorHAnsi" w:eastAsiaTheme="minorEastAsia" w:hAnsiTheme="minorHAnsi" w:cstheme="minorBidi"/>
          <w:noProof/>
          <w:sz w:val="22"/>
          <w:szCs w:val="22"/>
        </w:rPr>
        <w:tab/>
      </w:r>
      <w:r>
        <w:rPr>
          <w:noProof/>
        </w:rPr>
        <w:t>Gunitado</w:t>
      </w:r>
      <w:r>
        <w:rPr>
          <w:noProof/>
        </w:rPr>
        <w:tab/>
      </w:r>
      <w:r w:rsidR="00927113">
        <w:rPr>
          <w:noProof/>
        </w:rPr>
        <w:fldChar w:fldCharType="begin"/>
      </w:r>
      <w:r>
        <w:rPr>
          <w:noProof/>
        </w:rPr>
        <w:instrText xml:space="preserve"> PAGEREF _Toc448741471 \h </w:instrText>
      </w:r>
      <w:r w:rsidR="00927113">
        <w:rPr>
          <w:noProof/>
        </w:rPr>
      </w:r>
      <w:r w:rsidR="00927113">
        <w:rPr>
          <w:noProof/>
        </w:rPr>
        <w:fldChar w:fldCharType="separate"/>
      </w:r>
      <w:r w:rsidR="006B1686">
        <w:rPr>
          <w:noProof/>
        </w:rPr>
        <w:t>219</w:t>
      </w:r>
      <w:r w:rsidR="00927113">
        <w:rPr>
          <w:noProof/>
        </w:rPr>
        <w:fldChar w:fldCharType="end"/>
      </w:r>
    </w:p>
    <w:p w:rsidR="00360671" w:rsidRDefault="00360671">
      <w:pPr>
        <w:pStyle w:val="TDC1"/>
        <w:tabs>
          <w:tab w:val="left" w:pos="1760"/>
        </w:tabs>
        <w:rPr>
          <w:rFonts w:asciiTheme="minorHAnsi" w:eastAsiaTheme="minorEastAsia" w:hAnsiTheme="minorHAnsi" w:cstheme="minorBidi"/>
          <w:b w:val="0"/>
          <w:noProof/>
          <w:szCs w:val="22"/>
        </w:rPr>
      </w:pPr>
      <w:r w:rsidRPr="00DC18DE">
        <w:rPr>
          <w:noProof/>
          <w:u w:val="thick"/>
        </w:rPr>
        <w:t>CAPÍTULO 5.</w:t>
      </w:r>
      <w:r>
        <w:rPr>
          <w:rFonts w:asciiTheme="minorHAnsi" w:eastAsiaTheme="minorEastAsia" w:hAnsiTheme="minorHAnsi" w:cstheme="minorBidi"/>
          <w:b w:val="0"/>
          <w:noProof/>
          <w:szCs w:val="22"/>
        </w:rPr>
        <w:tab/>
      </w:r>
      <w:r>
        <w:rPr>
          <w:noProof/>
        </w:rPr>
        <w:t>EQUIPOS MECÁNICOS</w:t>
      </w:r>
      <w:r>
        <w:rPr>
          <w:noProof/>
        </w:rPr>
        <w:tab/>
      </w:r>
      <w:r w:rsidR="00927113">
        <w:rPr>
          <w:noProof/>
        </w:rPr>
        <w:fldChar w:fldCharType="begin"/>
      </w:r>
      <w:r>
        <w:rPr>
          <w:noProof/>
        </w:rPr>
        <w:instrText xml:space="preserve"> PAGEREF _Toc448741472 \h </w:instrText>
      </w:r>
      <w:r w:rsidR="00927113">
        <w:rPr>
          <w:noProof/>
        </w:rPr>
      </w:r>
      <w:r w:rsidR="00927113">
        <w:rPr>
          <w:noProof/>
        </w:rPr>
        <w:fldChar w:fldCharType="separate"/>
      </w:r>
      <w:r w:rsidR="006B1686">
        <w:rPr>
          <w:noProof/>
        </w:rPr>
        <w:t>220</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5.1</w:t>
      </w:r>
      <w:r>
        <w:rPr>
          <w:rFonts w:asciiTheme="minorHAnsi" w:eastAsiaTheme="minorEastAsia" w:hAnsiTheme="minorHAnsi" w:cstheme="minorBidi"/>
          <w:noProof/>
          <w:szCs w:val="22"/>
        </w:rPr>
        <w:tab/>
      </w:r>
      <w:r w:rsidRPr="00DC18DE">
        <w:rPr>
          <w:noProof/>
        </w:rPr>
        <w:t>ESPECIFICACIONES GENERALES</w:t>
      </w:r>
      <w:r>
        <w:rPr>
          <w:noProof/>
        </w:rPr>
        <w:tab/>
      </w:r>
      <w:r w:rsidR="00927113">
        <w:rPr>
          <w:noProof/>
        </w:rPr>
        <w:fldChar w:fldCharType="begin"/>
      </w:r>
      <w:r>
        <w:rPr>
          <w:noProof/>
        </w:rPr>
        <w:instrText xml:space="preserve"> PAGEREF _Toc448741473 \h </w:instrText>
      </w:r>
      <w:r w:rsidR="00927113">
        <w:rPr>
          <w:noProof/>
        </w:rPr>
      </w:r>
      <w:r w:rsidR="00927113">
        <w:rPr>
          <w:noProof/>
        </w:rPr>
        <w:fldChar w:fldCharType="separate"/>
      </w:r>
      <w:r w:rsidR="006B1686">
        <w:rPr>
          <w:noProof/>
        </w:rPr>
        <w:t>220</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5.1.1</w:t>
      </w:r>
      <w:r>
        <w:rPr>
          <w:rFonts w:asciiTheme="minorHAnsi" w:eastAsiaTheme="minorEastAsia" w:hAnsiTheme="minorHAnsi" w:cstheme="minorBidi"/>
          <w:noProof/>
          <w:sz w:val="22"/>
          <w:szCs w:val="22"/>
        </w:rPr>
        <w:tab/>
      </w:r>
      <w:r>
        <w:rPr>
          <w:noProof/>
        </w:rPr>
        <w:t>Acabados de superficies</w:t>
      </w:r>
      <w:r>
        <w:rPr>
          <w:noProof/>
        </w:rPr>
        <w:tab/>
      </w:r>
      <w:r w:rsidR="00927113">
        <w:rPr>
          <w:noProof/>
        </w:rPr>
        <w:fldChar w:fldCharType="begin"/>
      </w:r>
      <w:r>
        <w:rPr>
          <w:noProof/>
        </w:rPr>
        <w:instrText xml:space="preserve"> PAGEREF _Toc448741474 \h </w:instrText>
      </w:r>
      <w:r w:rsidR="00927113">
        <w:rPr>
          <w:noProof/>
        </w:rPr>
      </w:r>
      <w:r w:rsidR="00927113">
        <w:rPr>
          <w:noProof/>
        </w:rPr>
        <w:fldChar w:fldCharType="separate"/>
      </w:r>
      <w:r w:rsidR="006B1686">
        <w:rPr>
          <w:noProof/>
        </w:rPr>
        <w:t>220</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sidRPr="00DC18DE">
        <w:rPr>
          <w:rFonts w:cs="Arial Negrita"/>
          <w:noProof/>
        </w:rPr>
        <w:t>Artículo 5.1.2</w:t>
      </w:r>
      <w:r>
        <w:rPr>
          <w:rFonts w:asciiTheme="minorHAnsi" w:eastAsiaTheme="minorEastAsia" w:hAnsiTheme="minorHAnsi" w:cstheme="minorBidi"/>
          <w:noProof/>
          <w:sz w:val="22"/>
          <w:szCs w:val="22"/>
        </w:rPr>
        <w:tab/>
      </w:r>
      <w:r>
        <w:rPr>
          <w:noProof/>
        </w:rPr>
        <w:t>Forma de abono de las instalaciones y equipos</w:t>
      </w:r>
      <w:r>
        <w:rPr>
          <w:noProof/>
        </w:rPr>
        <w:tab/>
      </w:r>
      <w:r w:rsidR="00927113">
        <w:rPr>
          <w:noProof/>
        </w:rPr>
        <w:fldChar w:fldCharType="begin"/>
      </w:r>
      <w:r>
        <w:rPr>
          <w:noProof/>
        </w:rPr>
        <w:instrText xml:space="preserve"> PAGEREF _Toc448741475 \h </w:instrText>
      </w:r>
      <w:r w:rsidR="00927113">
        <w:rPr>
          <w:noProof/>
        </w:rPr>
      </w:r>
      <w:r w:rsidR="00927113">
        <w:rPr>
          <w:noProof/>
        </w:rPr>
        <w:fldChar w:fldCharType="separate"/>
      </w:r>
      <w:r w:rsidR="006B1686">
        <w:rPr>
          <w:noProof/>
        </w:rPr>
        <w:t>222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5.1.3</w:t>
      </w:r>
      <w:r>
        <w:rPr>
          <w:rFonts w:asciiTheme="minorHAnsi" w:eastAsiaTheme="minorEastAsia" w:hAnsiTheme="minorHAnsi" w:cstheme="minorBidi"/>
          <w:noProof/>
          <w:sz w:val="22"/>
          <w:szCs w:val="22"/>
        </w:rPr>
        <w:tab/>
      </w:r>
      <w:r>
        <w:rPr>
          <w:noProof/>
        </w:rPr>
        <w:t>Fabricación</w:t>
      </w:r>
      <w:r>
        <w:rPr>
          <w:noProof/>
        </w:rPr>
        <w:tab/>
      </w:r>
      <w:r w:rsidR="00927113">
        <w:rPr>
          <w:noProof/>
        </w:rPr>
        <w:fldChar w:fldCharType="begin"/>
      </w:r>
      <w:r>
        <w:rPr>
          <w:noProof/>
        </w:rPr>
        <w:instrText xml:space="preserve"> PAGEREF _Toc448741476 \h </w:instrText>
      </w:r>
      <w:r w:rsidR="00927113">
        <w:rPr>
          <w:noProof/>
        </w:rPr>
      </w:r>
      <w:r w:rsidR="00927113">
        <w:rPr>
          <w:noProof/>
        </w:rPr>
        <w:fldChar w:fldCharType="separate"/>
      </w:r>
      <w:r w:rsidR="006B1686">
        <w:rPr>
          <w:noProof/>
        </w:rPr>
        <w:t>222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sidRPr="00DC18DE">
        <w:rPr>
          <w:rFonts w:cs="Arial Negrita"/>
          <w:noProof/>
        </w:rPr>
        <w:t>Artículo 5.1.4</w:t>
      </w:r>
      <w:r>
        <w:rPr>
          <w:rFonts w:asciiTheme="minorHAnsi" w:eastAsiaTheme="minorEastAsia" w:hAnsiTheme="minorHAnsi" w:cstheme="minorBidi"/>
          <w:noProof/>
          <w:sz w:val="22"/>
          <w:szCs w:val="22"/>
        </w:rPr>
        <w:tab/>
      </w:r>
      <w:r>
        <w:rPr>
          <w:noProof/>
        </w:rPr>
        <w:t>Control de calidad</w:t>
      </w:r>
      <w:r>
        <w:rPr>
          <w:noProof/>
        </w:rPr>
        <w:tab/>
      </w:r>
      <w:r w:rsidR="00927113">
        <w:rPr>
          <w:noProof/>
        </w:rPr>
        <w:fldChar w:fldCharType="begin"/>
      </w:r>
      <w:r>
        <w:rPr>
          <w:noProof/>
        </w:rPr>
        <w:instrText xml:space="preserve"> PAGEREF _Toc448741477 \h </w:instrText>
      </w:r>
      <w:r w:rsidR="00927113">
        <w:rPr>
          <w:noProof/>
        </w:rPr>
      </w:r>
      <w:r w:rsidR="00927113">
        <w:rPr>
          <w:noProof/>
        </w:rPr>
        <w:fldChar w:fldCharType="separate"/>
      </w:r>
      <w:r w:rsidR="006B1686">
        <w:rPr>
          <w:noProof/>
        </w:rPr>
        <w:t>223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sidRPr="00DC18DE">
        <w:rPr>
          <w:rFonts w:cs="Arial Negrita"/>
          <w:noProof/>
        </w:rPr>
        <w:t>Artículo 5.1.5</w:t>
      </w:r>
      <w:r>
        <w:rPr>
          <w:rFonts w:asciiTheme="minorHAnsi" w:eastAsiaTheme="minorEastAsia" w:hAnsiTheme="minorHAnsi" w:cstheme="minorBidi"/>
          <w:noProof/>
          <w:sz w:val="22"/>
          <w:szCs w:val="22"/>
        </w:rPr>
        <w:tab/>
      </w:r>
      <w:r>
        <w:rPr>
          <w:noProof/>
        </w:rPr>
        <w:t>Montaje</w:t>
      </w:r>
      <w:r>
        <w:rPr>
          <w:noProof/>
        </w:rPr>
        <w:tab/>
      </w:r>
      <w:r w:rsidR="00927113">
        <w:rPr>
          <w:noProof/>
        </w:rPr>
        <w:fldChar w:fldCharType="begin"/>
      </w:r>
      <w:r>
        <w:rPr>
          <w:noProof/>
        </w:rPr>
        <w:instrText xml:space="preserve"> PAGEREF _Toc448741478 \h </w:instrText>
      </w:r>
      <w:r w:rsidR="00927113">
        <w:rPr>
          <w:noProof/>
        </w:rPr>
      </w:r>
      <w:r w:rsidR="00927113">
        <w:rPr>
          <w:noProof/>
        </w:rPr>
        <w:fldChar w:fldCharType="separate"/>
      </w:r>
      <w:r w:rsidR="006B1686">
        <w:rPr>
          <w:noProof/>
        </w:rPr>
        <w:t>224</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5.2</w:t>
      </w:r>
      <w:r>
        <w:rPr>
          <w:rFonts w:asciiTheme="minorHAnsi" w:eastAsiaTheme="minorEastAsia" w:hAnsiTheme="minorHAnsi" w:cstheme="minorBidi"/>
          <w:noProof/>
          <w:szCs w:val="22"/>
        </w:rPr>
        <w:tab/>
      </w:r>
      <w:r w:rsidRPr="00DC18DE">
        <w:rPr>
          <w:noProof/>
        </w:rPr>
        <w:t>VÁLVULAS Y FILTROS</w:t>
      </w:r>
      <w:r>
        <w:rPr>
          <w:noProof/>
        </w:rPr>
        <w:tab/>
      </w:r>
      <w:r w:rsidR="00927113">
        <w:rPr>
          <w:noProof/>
        </w:rPr>
        <w:fldChar w:fldCharType="begin"/>
      </w:r>
      <w:r>
        <w:rPr>
          <w:noProof/>
        </w:rPr>
        <w:instrText xml:space="preserve"> PAGEREF _Toc448741479 \h </w:instrText>
      </w:r>
      <w:r w:rsidR="00927113">
        <w:rPr>
          <w:noProof/>
        </w:rPr>
      </w:r>
      <w:r w:rsidR="00927113">
        <w:rPr>
          <w:noProof/>
        </w:rPr>
        <w:fldChar w:fldCharType="separate"/>
      </w:r>
      <w:r w:rsidR="006B1686">
        <w:rPr>
          <w:noProof/>
        </w:rPr>
        <w:t>224</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5.2.1</w:t>
      </w:r>
      <w:r>
        <w:rPr>
          <w:rFonts w:asciiTheme="minorHAnsi" w:eastAsiaTheme="minorEastAsia" w:hAnsiTheme="minorHAnsi" w:cstheme="minorBidi"/>
          <w:noProof/>
          <w:sz w:val="22"/>
          <w:szCs w:val="22"/>
        </w:rPr>
        <w:tab/>
      </w:r>
      <w:r>
        <w:rPr>
          <w:noProof/>
        </w:rPr>
        <w:t>Generalidades</w:t>
      </w:r>
      <w:r>
        <w:rPr>
          <w:noProof/>
        </w:rPr>
        <w:tab/>
      </w:r>
      <w:r w:rsidR="00927113">
        <w:rPr>
          <w:noProof/>
        </w:rPr>
        <w:fldChar w:fldCharType="begin"/>
      </w:r>
      <w:r>
        <w:rPr>
          <w:noProof/>
        </w:rPr>
        <w:instrText xml:space="preserve"> PAGEREF _Toc448741480 \h </w:instrText>
      </w:r>
      <w:r w:rsidR="00927113">
        <w:rPr>
          <w:noProof/>
        </w:rPr>
      </w:r>
      <w:r w:rsidR="00927113">
        <w:rPr>
          <w:noProof/>
        </w:rPr>
        <w:fldChar w:fldCharType="separate"/>
      </w:r>
      <w:r w:rsidR="006B1686">
        <w:rPr>
          <w:noProof/>
        </w:rPr>
        <w:t>224</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5.2.2</w:t>
      </w:r>
      <w:r>
        <w:rPr>
          <w:rFonts w:asciiTheme="minorHAnsi" w:eastAsiaTheme="minorEastAsia" w:hAnsiTheme="minorHAnsi" w:cstheme="minorBidi"/>
          <w:noProof/>
          <w:sz w:val="22"/>
          <w:szCs w:val="22"/>
        </w:rPr>
        <w:tab/>
      </w:r>
      <w:r>
        <w:rPr>
          <w:noProof/>
        </w:rPr>
        <w:t>Válvulas de compuerta</w:t>
      </w:r>
      <w:r>
        <w:rPr>
          <w:noProof/>
        </w:rPr>
        <w:tab/>
      </w:r>
      <w:r w:rsidR="00927113">
        <w:rPr>
          <w:noProof/>
        </w:rPr>
        <w:fldChar w:fldCharType="begin"/>
      </w:r>
      <w:r>
        <w:rPr>
          <w:noProof/>
        </w:rPr>
        <w:instrText xml:space="preserve"> PAGEREF _Toc448741481 \h </w:instrText>
      </w:r>
      <w:r w:rsidR="00927113">
        <w:rPr>
          <w:noProof/>
        </w:rPr>
      </w:r>
      <w:r w:rsidR="00927113">
        <w:rPr>
          <w:noProof/>
        </w:rPr>
        <w:fldChar w:fldCharType="separate"/>
      </w:r>
      <w:r w:rsidR="006B1686">
        <w:rPr>
          <w:noProof/>
        </w:rPr>
        <w:t>227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5.2.3</w:t>
      </w:r>
      <w:r>
        <w:rPr>
          <w:rFonts w:asciiTheme="minorHAnsi" w:eastAsiaTheme="minorEastAsia" w:hAnsiTheme="minorHAnsi" w:cstheme="minorBidi"/>
          <w:noProof/>
          <w:sz w:val="22"/>
          <w:szCs w:val="22"/>
        </w:rPr>
        <w:tab/>
      </w:r>
      <w:r>
        <w:rPr>
          <w:noProof/>
        </w:rPr>
        <w:t>Válvulas de mariposa</w:t>
      </w:r>
      <w:r>
        <w:rPr>
          <w:noProof/>
        </w:rPr>
        <w:tab/>
      </w:r>
      <w:r w:rsidR="00927113">
        <w:rPr>
          <w:noProof/>
        </w:rPr>
        <w:fldChar w:fldCharType="begin"/>
      </w:r>
      <w:r>
        <w:rPr>
          <w:noProof/>
        </w:rPr>
        <w:instrText xml:space="preserve"> PAGEREF _Toc448741482 \h </w:instrText>
      </w:r>
      <w:r w:rsidR="00927113">
        <w:rPr>
          <w:noProof/>
        </w:rPr>
      </w:r>
      <w:r w:rsidR="00927113">
        <w:rPr>
          <w:noProof/>
        </w:rPr>
        <w:fldChar w:fldCharType="separate"/>
      </w:r>
      <w:r w:rsidR="006B1686">
        <w:rPr>
          <w:noProof/>
        </w:rPr>
        <w:t>228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5.2.4</w:t>
      </w:r>
      <w:r>
        <w:rPr>
          <w:rFonts w:asciiTheme="minorHAnsi" w:eastAsiaTheme="minorEastAsia" w:hAnsiTheme="minorHAnsi" w:cstheme="minorBidi"/>
          <w:noProof/>
          <w:sz w:val="22"/>
          <w:szCs w:val="22"/>
        </w:rPr>
        <w:tab/>
      </w:r>
      <w:r>
        <w:rPr>
          <w:noProof/>
        </w:rPr>
        <w:t>Válvulas de regulación y seguridad</w:t>
      </w:r>
      <w:r>
        <w:rPr>
          <w:noProof/>
        </w:rPr>
        <w:tab/>
      </w:r>
      <w:r w:rsidR="00927113">
        <w:rPr>
          <w:noProof/>
        </w:rPr>
        <w:fldChar w:fldCharType="begin"/>
      </w:r>
      <w:r>
        <w:rPr>
          <w:noProof/>
        </w:rPr>
        <w:instrText xml:space="preserve"> PAGEREF _Toc448741483 \h </w:instrText>
      </w:r>
      <w:r w:rsidR="00927113">
        <w:rPr>
          <w:noProof/>
        </w:rPr>
      </w:r>
      <w:r w:rsidR="00927113">
        <w:rPr>
          <w:noProof/>
        </w:rPr>
        <w:fldChar w:fldCharType="separate"/>
      </w:r>
      <w:r w:rsidR="006B1686">
        <w:rPr>
          <w:noProof/>
        </w:rPr>
        <w:t>229</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5.2.5</w:t>
      </w:r>
      <w:r>
        <w:rPr>
          <w:rFonts w:asciiTheme="minorHAnsi" w:eastAsiaTheme="minorEastAsia" w:hAnsiTheme="minorHAnsi" w:cstheme="minorBidi"/>
          <w:noProof/>
          <w:sz w:val="22"/>
          <w:szCs w:val="22"/>
        </w:rPr>
        <w:tab/>
      </w:r>
      <w:r>
        <w:rPr>
          <w:noProof/>
        </w:rPr>
        <w:t>Válvulas de aeración</w:t>
      </w:r>
      <w:r>
        <w:rPr>
          <w:noProof/>
        </w:rPr>
        <w:tab/>
      </w:r>
      <w:r w:rsidR="00927113">
        <w:rPr>
          <w:noProof/>
        </w:rPr>
        <w:fldChar w:fldCharType="begin"/>
      </w:r>
      <w:r>
        <w:rPr>
          <w:noProof/>
        </w:rPr>
        <w:instrText xml:space="preserve"> PAGEREF _Toc448741484 \h </w:instrText>
      </w:r>
      <w:r w:rsidR="00927113">
        <w:rPr>
          <w:noProof/>
        </w:rPr>
      </w:r>
      <w:r w:rsidR="00927113">
        <w:rPr>
          <w:noProof/>
        </w:rPr>
        <w:fldChar w:fldCharType="separate"/>
      </w:r>
      <w:r w:rsidR="006B1686">
        <w:rPr>
          <w:noProof/>
        </w:rPr>
        <w:t>231</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5.2.6</w:t>
      </w:r>
      <w:r>
        <w:rPr>
          <w:rFonts w:asciiTheme="minorHAnsi" w:eastAsiaTheme="minorEastAsia" w:hAnsiTheme="minorHAnsi" w:cstheme="minorBidi"/>
          <w:noProof/>
          <w:sz w:val="22"/>
          <w:szCs w:val="22"/>
        </w:rPr>
        <w:tab/>
      </w:r>
      <w:r>
        <w:rPr>
          <w:noProof/>
        </w:rPr>
        <w:t>Filtros</w:t>
      </w:r>
      <w:r>
        <w:rPr>
          <w:noProof/>
        </w:rPr>
        <w:tab/>
      </w:r>
      <w:r w:rsidR="00927113">
        <w:rPr>
          <w:noProof/>
        </w:rPr>
        <w:fldChar w:fldCharType="begin"/>
      </w:r>
      <w:r>
        <w:rPr>
          <w:noProof/>
        </w:rPr>
        <w:instrText xml:space="preserve"> PAGEREF _Toc448741485 \h </w:instrText>
      </w:r>
      <w:r w:rsidR="00927113">
        <w:rPr>
          <w:noProof/>
        </w:rPr>
      </w:r>
      <w:r w:rsidR="00927113">
        <w:rPr>
          <w:noProof/>
        </w:rPr>
        <w:fldChar w:fldCharType="separate"/>
      </w:r>
      <w:r w:rsidR="006B1686">
        <w:rPr>
          <w:noProof/>
        </w:rPr>
        <w:t>232</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5.3</w:t>
      </w:r>
      <w:r>
        <w:rPr>
          <w:rFonts w:asciiTheme="minorHAnsi" w:eastAsiaTheme="minorEastAsia" w:hAnsiTheme="minorHAnsi" w:cstheme="minorBidi"/>
          <w:noProof/>
          <w:szCs w:val="22"/>
        </w:rPr>
        <w:tab/>
      </w:r>
      <w:r w:rsidRPr="00DC18DE">
        <w:rPr>
          <w:noProof/>
        </w:rPr>
        <w:t>COMPUERTAS</w:t>
      </w:r>
      <w:r>
        <w:rPr>
          <w:noProof/>
        </w:rPr>
        <w:tab/>
      </w:r>
      <w:r w:rsidR="00927113">
        <w:rPr>
          <w:noProof/>
        </w:rPr>
        <w:fldChar w:fldCharType="begin"/>
      </w:r>
      <w:r>
        <w:rPr>
          <w:noProof/>
        </w:rPr>
        <w:instrText xml:space="preserve"> PAGEREF _Toc448741486 \h </w:instrText>
      </w:r>
      <w:r w:rsidR="00927113">
        <w:rPr>
          <w:noProof/>
        </w:rPr>
      </w:r>
      <w:r w:rsidR="00927113">
        <w:rPr>
          <w:noProof/>
        </w:rPr>
        <w:fldChar w:fldCharType="separate"/>
      </w:r>
      <w:r w:rsidR="006B1686">
        <w:rPr>
          <w:noProof/>
        </w:rPr>
        <w:t>232</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5.4</w:t>
      </w:r>
      <w:r>
        <w:rPr>
          <w:rFonts w:asciiTheme="minorHAnsi" w:eastAsiaTheme="minorEastAsia" w:hAnsiTheme="minorHAnsi" w:cstheme="minorBidi"/>
          <w:noProof/>
          <w:szCs w:val="22"/>
        </w:rPr>
        <w:tab/>
      </w:r>
      <w:r w:rsidRPr="00DC18DE">
        <w:rPr>
          <w:noProof/>
        </w:rPr>
        <w:t>EQUIPOS DE BOMBEO</w:t>
      </w:r>
      <w:r>
        <w:rPr>
          <w:noProof/>
        </w:rPr>
        <w:tab/>
      </w:r>
      <w:r w:rsidR="00927113">
        <w:rPr>
          <w:noProof/>
        </w:rPr>
        <w:fldChar w:fldCharType="begin"/>
      </w:r>
      <w:r>
        <w:rPr>
          <w:noProof/>
        </w:rPr>
        <w:instrText xml:space="preserve"> PAGEREF _Toc448741487 \h </w:instrText>
      </w:r>
      <w:r w:rsidR="00927113">
        <w:rPr>
          <w:noProof/>
        </w:rPr>
      </w:r>
      <w:r w:rsidR="00927113">
        <w:rPr>
          <w:noProof/>
        </w:rPr>
        <w:fldChar w:fldCharType="separate"/>
      </w:r>
      <w:r w:rsidR="006B1686">
        <w:rPr>
          <w:noProof/>
        </w:rPr>
        <w:t>234</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5.5</w:t>
      </w:r>
      <w:r>
        <w:rPr>
          <w:rFonts w:asciiTheme="minorHAnsi" w:eastAsiaTheme="minorEastAsia" w:hAnsiTheme="minorHAnsi" w:cstheme="minorBidi"/>
          <w:noProof/>
          <w:szCs w:val="22"/>
        </w:rPr>
        <w:tab/>
      </w:r>
      <w:r w:rsidRPr="00DC18DE">
        <w:rPr>
          <w:noProof/>
        </w:rPr>
        <w:t>VENTILADORES, SOPLANTES Y COMPRESORES</w:t>
      </w:r>
      <w:r>
        <w:rPr>
          <w:noProof/>
        </w:rPr>
        <w:tab/>
      </w:r>
      <w:r w:rsidR="00927113">
        <w:rPr>
          <w:noProof/>
        </w:rPr>
        <w:fldChar w:fldCharType="begin"/>
      </w:r>
      <w:r>
        <w:rPr>
          <w:noProof/>
        </w:rPr>
        <w:instrText xml:space="preserve"> PAGEREF _Toc448741488 \h </w:instrText>
      </w:r>
      <w:r w:rsidR="00927113">
        <w:rPr>
          <w:noProof/>
        </w:rPr>
      </w:r>
      <w:r w:rsidR="00927113">
        <w:rPr>
          <w:noProof/>
        </w:rPr>
        <w:fldChar w:fldCharType="separate"/>
      </w:r>
      <w:r w:rsidR="006B1686">
        <w:rPr>
          <w:noProof/>
        </w:rPr>
        <w:t>237</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5.6</w:t>
      </w:r>
      <w:r>
        <w:rPr>
          <w:rFonts w:asciiTheme="minorHAnsi" w:eastAsiaTheme="minorEastAsia" w:hAnsiTheme="minorHAnsi" w:cstheme="minorBidi"/>
          <w:noProof/>
          <w:szCs w:val="22"/>
        </w:rPr>
        <w:tab/>
      </w:r>
      <w:r w:rsidRPr="00DC18DE">
        <w:rPr>
          <w:noProof/>
        </w:rPr>
        <w:t>EQUIPOS A PRESIÓN</w:t>
      </w:r>
      <w:r>
        <w:rPr>
          <w:noProof/>
        </w:rPr>
        <w:tab/>
      </w:r>
      <w:r w:rsidR="00927113">
        <w:rPr>
          <w:noProof/>
        </w:rPr>
        <w:fldChar w:fldCharType="begin"/>
      </w:r>
      <w:r>
        <w:rPr>
          <w:noProof/>
        </w:rPr>
        <w:instrText xml:space="preserve"> PAGEREF _Toc448741489 \h </w:instrText>
      </w:r>
      <w:r w:rsidR="00927113">
        <w:rPr>
          <w:noProof/>
        </w:rPr>
      </w:r>
      <w:r w:rsidR="00927113">
        <w:rPr>
          <w:noProof/>
        </w:rPr>
        <w:fldChar w:fldCharType="separate"/>
      </w:r>
      <w:r w:rsidR="006B1686">
        <w:rPr>
          <w:noProof/>
        </w:rPr>
        <w:t>239</w:t>
      </w:r>
      <w:r w:rsidR="00927113">
        <w:rPr>
          <w:noProof/>
        </w:rPr>
        <w:fldChar w:fldCharType="end"/>
      </w:r>
    </w:p>
    <w:p w:rsidR="00360671" w:rsidRDefault="00360671">
      <w:pPr>
        <w:pStyle w:val="TDC1"/>
        <w:tabs>
          <w:tab w:val="left" w:pos="1760"/>
        </w:tabs>
        <w:rPr>
          <w:rFonts w:asciiTheme="minorHAnsi" w:eastAsiaTheme="minorEastAsia" w:hAnsiTheme="minorHAnsi" w:cstheme="minorBidi"/>
          <w:b w:val="0"/>
          <w:noProof/>
          <w:szCs w:val="22"/>
        </w:rPr>
      </w:pPr>
      <w:r w:rsidRPr="00DC18DE">
        <w:rPr>
          <w:noProof/>
          <w:u w:val="thick"/>
        </w:rPr>
        <w:t>CAPÍTULO 6.</w:t>
      </w:r>
      <w:r>
        <w:rPr>
          <w:rFonts w:asciiTheme="minorHAnsi" w:eastAsiaTheme="minorEastAsia" w:hAnsiTheme="minorHAnsi" w:cstheme="minorBidi"/>
          <w:b w:val="0"/>
          <w:noProof/>
          <w:szCs w:val="22"/>
        </w:rPr>
        <w:tab/>
      </w:r>
      <w:r>
        <w:rPr>
          <w:noProof/>
        </w:rPr>
        <w:t>INSTALACIONES ELÉCTRICAS</w:t>
      </w:r>
      <w:r>
        <w:rPr>
          <w:noProof/>
        </w:rPr>
        <w:tab/>
      </w:r>
      <w:r w:rsidR="00927113">
        <w:rPr>
          <w:noProof/>
        </w:rPr>
        <w:fldChar w:fldCharType="begin"/>
      </w:r>
      <w:r>
        <w:rPr>
          <w:noProof/>
        </w:rPr>
        <w:instrText xml:space="preserve"> PAGEREF _Toc448741490 \h </w:instrText>
      </w:r>
      <w:r w:rsidR="00927113">
        <w:rPr>
          <w:noProof/>
        </w:rPr>
      </w:r>
      <w:r w:rsidR="00927113">
        <w:rPr>
          <w:noProof/>
        </w:rPr>
        <w:fldChar w:fldCharType="separate"/>
      </w:r>
      <w:r w:rsidR="006B1686">
        <w:rPr>
          <w:noProof/>
        </w:rPr>
        <w:t>240</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6.1</w:t>
      </w:r>
      <w:r>
        <w:rPr>
          <w:rFonts w:asciiTheme="minorHAnsi" w:eastAsiaTheme="minorEastAsia" w:hAnsiTheme="minorHAnsi" w:cstheme="minorBidi"/>
          <w:noProof/>
          <w:szCs w:val="22"/>
        </w:rPr>
        <w:tab/>
      </w:r>
      <w:r w:rsidRPr="00DC18DE">
        <w:rPr>
          <w:noProof/>
        </w:rPr>
        <w:t>ESPECIFICACIONES GENERALES</w:t>
      </w:r>
      <w:r>
        <w:rPr>
          <w:noProof/>
        </w:rPr>
        <w:tab/>
      </w:r>
      <w:r w:rsidR="00927113">
        <w:rPr>
          <w:noProof/>
        </w:rPr>
        <w:fldChar w:fldCharType="begin"/>
      </w:r>
      <w:r>
        <w:rPr>
          <w:noProof/>
        </w:rPr>
        <w:instrText xml:space="preserve"> PAGEREF _Toc448741491 \h </w:instrText>
      </w:r>
      <w:r w:rsidR="00927113">
        <w:rPr>
          <w:noProof/>
        </w:rPr>
      </w:r>
      <w:r w:rsidR="00927113">
        <w:rPr>
          <w:noProof/>
        </w:rPr>
        <w:fldChar w:fldCharType="separate"/>
      </w:r>
      <w:r w:rsidR="006B1686">
        <w:rPr>
          <w:noProof/>
        </w:rPr>
        <w:t>240</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6.2</w:t>
      </w:r>
      <w:r>
        <w:rPr>
          <w:rFonts w:asciiTheme="minorHAnsi" w:eastAsiaTheme="minorEastAsia" w:hAnsiTheme="minorHAnsi" w:cstheme="minorBidi"/>
          <w:noProof/>
          <w:szCs w:val="22"/>
        </w:rPr>
        <w:tab/>
      </w:r>
      <w:r w:rsidRPr="00DC18DE">
        <w:rPr>
          <w:noProof/>
        </w:rPr>
        <w:t>FORMA DE ABONO DE LAS INSTALACIONES Y EQUIPOS</w:t>
      </w:r>
      <w:r>
        <w:rPr>
          <w:noProof/>
        </w:rPr>
        <w:tab/>
      </w:r>
      <w:r w:rsidR="00927113">
        <w:rPr>
          <w:noProof/>
        </w:rPr>
        <w:fldChar w:fldCharType="begin"/>
      </w:r>
      <w:r>
        <w:rPr>
          <w:noProof/>
        </w:rPr>
        <w:instrText xml:space="preserve"> PAGEREF _Toc448741492 \h </w:instrText>
      </w:r>
      <w:r w:rsidR="00927113">
        <w:rPr>
          <w:noProof/>
        </w:rPr>
      </w:r>
      <w:r w:rsidR="00927113">
        <w:rPr>
          <w:noProof/>
        </w:rPr>
        <w:fldChar w:fldCharType="separate"/>
      </w:r>
      <w:r w:rsidR="006B1686">
        <w:rPr>
          <w:noProof/>
        </w:rPr>
        <w:t>240</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6.3</w:t>
      </w:r>
      <w:r>
        <w:rPr>
          <w:rFonts w:asciiTheme="minorHAnsi" w:eastAsiaTheme="minorEastAsia" w:hAnsiTheme="minorHAnsi" w:cstheme="minorBidi"/>
          <w:noProof/>
          <w:szCs w:val="22"/>
        </w:rPr>
        <w:tab/>
      </w:r>
      <w:r w:rsidRPr="00DC18DE">
        <w:rPr>
          <w:noProof/>
        </w:rPr>
        <w:t>ALTA TENSIÓN</w:t>
      </w:r>
      <w:r>
        <w:rPr>
          <w:noProof/>
        </w:rPr>
        <w:tab/>
      </w:r>
      <w:r w:rsidR="00927113">
        <w:rPr>
          <w:noProof/>
        </w:rPr>
        <w:fldChar w:fldCharType="begin"/>
      </w:r>
      <w:r>
        <w:rPr>
          <w:noProof/>
        </w:rPr>
        <w:instrText xml:space="preserve"> PAGEREF _Toc448741493 \h </w:instrText>
      </w:r>
      <w:r w:rsidR="00927113">
        <w:rPr>
          <w:noProof/>
        </w:rPr>
      </w:r>
      <w:r w:rsidR="00927113">
        <w:rPr>
          <w:noProof/>
        </w:rPr>
        <w:fldChar w:fldCharType="separate"/>
      </w:r>
      <w:r w:rsidR="006B1686">
        <w:rPr>
          <w:noProof/>
        </w:rPr>
        <w:t>241</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6.3.1</w:t>
      </w:r>
      <w:r>
        <w:rPr>
          <w:rFonts w:asciiTheme="minorHAnsi" w:eastAsiaTheme="minorEastAsia" w:hAnsiTheme="minorHAnsi" w:cstheme="minorBidi"/>
          <w:noProof/>
          <w:sz w:val="22"/>
          <w:szCs w:val="22"/>
        </w:rPr>
        <w:tab/>
      </w:r>
      <w:r>
        <w:rPr>
          <w:noProof/>
        </w:rPr>
        <w:t>Línea de Alimentación</w:t>
      </w:r>
      <w:r>
        <w:rPr>
          <w:noProof/>
        </w:rPr>
        <w:tab/>
      </w:r>
      <w:r w:rsidR="00927113">
        <w:rPr>
          <w:noProof/>
        </w:rPr>
        <w:fldChar w:fldCharType="begin"/>
      </w:r>
      <w:r>
        <w:rPr>
          <w:noProof/>
        </w:rPr>
        <w:instrText xml:space="preserve"> PAGEREF _Toc448741494 \h </w:instrText>
      </w:r>
      <w:r w:rsidR="00927113">
        <w:rPr>
          <w:noProof/>
        </w:rPr>
      </w:r>
      <w:r w:rsidR="00927113">
        <w:rPr>
          <w:noProof/>
        </w:rPr>
        <w:fldChar w:fldCharType="separate"/>
      </w:r>
      <w:r w:rsidR="006B1686">
        <w:rPr>
          <w:noProof/>
        </w:rPr>
        <w:t>241</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6.3.2</w:t>
      </w:r>
      <w:r>
        <w:rPr>
          <w:rFonts w:asciiTheme="minorHAnsi" w:eastAsiaTheme="minorEastAsia" w:hAnsiTheme="minorHAnsi" w:cstheme="minorBidi"/>
          <w:noProof/>
          <w:sz w:val="22"/>
          <w:szCs w:val="22"/>
        </w:rPr>
        <w:tab/>
      </w:r>
      <w:r>
        <w:rPr>
          <w:noProof/>
        </w:rPr>
        <w:t>Edificio Centro de Seccionamiento/Transformación</w:t>
      </w:r>
      <w:r>
        <w:rPr>
          <w:noProof/>
        </w:rPr>
        <w:tab/>
      </w:r>
      <w:r w:rsidR="00927113">
        <w:rPr>
          <w:noProof/>
        </w:rPr>
        <w:fldChar w:fldCharType="begin"/>
      </w:r>
      <w:r>
        <w:rPr>
          <w:noProof/>
        </w:rPr>
        <w:instrText xml:space="preserve"> PAGEREF _Toc448741495 \h </w:instrText>
      </w:r>
      <w:r w:rsidR="00927113">
        <w:rPr>
          <w:noProof/>
        </w:rPr>
      </w:r>
      <w:r w:rsidR="00927113">
        <w:rPr>
          <w:noProof/>
        </w:rPr>
        <w:fldChar w:fldCharType="separate"/>
      </w:r>
      <w:r w:rsidR="006B1686">
        <w:rPr>
          <w:noProof/>
        </w:rPr>
        <w:t>243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6.3.3</w:t>
      </w:r>
      <w:r>
        <w:rPr>
          <w:rFonts w:asciiTheme="minorHAnsi" w:eastAsiaTheme="minorEastAsia" w:hAnsiTheme="minorHAnsi" w:cstheme="minorBidi"/>
          <w:noProof/>
          <w:sz w:val="22"/>
          <w:szCs w:val="22"/>
        </w:rPr>
        <w:tab/>
      </w:r>
      <w:r>
        <w:rPr>
          <w:noProof/>
        </w:rPr>
        <w:t>Celdas</w:t>
      </w:r>
      <w:r>
        <w:rPr>
          <w:noProof/>
        </w:rPr>
        <w:tab/>
      </w:r>
      <w:r w:rsidR="00927113">
        <w:rPr>
          <w:noProof/>
        </w:rPr>
        <w:fldChar w:fldCharType="begin"/>
      </w:r>
      <w:r>
        <w:rPr>
          <w:noProof/>
        </w:rPr>
        <w:instrText xml:space="preserve"> PAGEREF _Toc448741496 \h </w:instrText>
      </w:r>
      <w:r w:rsidR="00927113">
        <w:rPr>
          <w:noProof/>
        </w:rPr>
      </w:r>
      <w:r w:rsidR="00927113">
        <w:rPr>
          <w:noProof/>
        </w:rPr>
        <w:fldChar w:fldCharType="separate"/>
      </w:r>
      <w:r w:rsidR="006B1686">
        <w:rPr>
          <w:noProof/>
        </w:rPr>
        <w:t>247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lastRenderedPageBreak/>
        <w:t>Artículo 6.3.4</w:t>
      </w:r>
      <w:r>
        <w:rPr>
          <w:rFonts w:asciiTheme="minorHAnsi" w:eastAsiaTheme="minorEastAsia" w:hAnsiTheme="minorHAnsi" w:cstheme="minorBidi"/>
          <w:noProof/>
          <w:sz w:val="22"/>
          <w:szCs w:val="22"/>
        </w:rPr>
        <w:tab/>
      </w:r>
      <w:r>
        <w:rPr>
          <w:noProof/>
        </w:rPr>
        <w:t>Transformadores de Potencia</w:t>
      </w:r>
      <w:r>
        <w:rPr>
          <w:noProof/>
        </w:rPr>
        <w:tab/>
      </w:r>
      <w:r w:rsidR="00927113">
        <w:rPr>
          <w:noProof/>
        </w:rPr>
        <w:fldChar w:fldCharType="begin"/>
      </w:r>
      <w:r>
        <w:rPr>
          <w:noProof/>
        </w:rPr>
        <w:instrText xml:space="preserve"> PAGEREF _Toc448741497 \h </w:instrText>
      </w:r>
      <w:r w:rsidR="00927113">
        <w:rPr>
          <w:noProof/>
        </w:rPr>
      </w:r>
      <w:r w:rsidR="00927113">
        <w:rPr>
          <w:noProof/>
        </w:rPr>
        <w:fldChar w:fldCharType="separate"/>
      </w:r>
      <w:r w:rsidR="006B1686">
        <w:rPr>
          <w:noProof/>
        </w:rPr>
        <w:t>248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6.3.5</w:t>
      </w:r>
      <w:r>
        <w:rPr>
          <w:rFonts w:asciiTheme="minorHAnsi" w:eastAsiaTheme="minorEastAsia" w:hAnsiTheme="minorHAnsi" w:cstheme="minorBidi"/>
          <w:noProof/>
          <w:sz w:val="22"/>
          <w:szCs w:val="22"/>
        </w:rPr>
        <w:tab/>
      </w:r>
      <w:r>
        <w:rPr>
          <w:noProof/>
        </w:rPr>
        <w:t>Suministro de alimentación segura (Fuente de alimentación segura)</w:t>
      </w:r>
      <w:r>
        <w:rPr>
          <w:noProof/>
        </w:rPr>
        <w:tab/>
      </w:r>
      <w:r w:rsidR="00927113">
        <w:rPr>
          <w:noProof/>
        </w:rPr>
        <w:fldChar w:fldCharType="begin"/>
      </w:r>
      <w:r>
        <w:rPr>
          <w:noProof/>
        </w:rPr>
        <w:instrText xml:space="preserve"> PAGEREF _Toc448741498 \h </w:instrText>
      </w:r>
      <w:r w:rsidR="00927113">
        <w:rPr>
          <w:noProof/>
        </w:rPr>
      </w:r>
      <w:r w:rsidR="00927113">
        <w:rPr>
          <w:noProof/>
        </w:rPr>
        <w:fldChar w:fldCharType="separate"/>
      </w:r>
      <w:r w:rsidR="006B1686">
        <w:rPr>
          <w:noProof/>
        </w:rPr>
        <w:t>252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6.3.6</w:t>
      </w:r>
      <w:r>
        <w:rPr>
          <w:rFonts w:asciiTheme="minorHAnsi" w:eastAsiaTheme="minorEastAsia" w:hAnsiTheme="minorHAnsi" w:cstheme="minorBidi"/>
          <w:noProof/>
          <w:sz w:val="22"/>
          <w:szCs w:val="22"/>
        </w:rPr>
        <w:tab/>
      </w:r>
      <w:r>
        <w:rPr>
          <w:noProof/>
        </w:rPr>
        <w:t>Cuadro de señalización y alarmas</w:t>
      </w:r>
      <w:r>
        <w:rPr>
          <w:noProof/>
        </w:rPr>
        <w:tab/>
      </w:r>
      <w:r w:rsidR="00927113">
        <w:rPr>
          <w:noProof/>
        </w:rPr>
        <w:fldChar w:fldCharType="begin"/>
      </w:r>
      <w:r>
        <w:rPr>
          <w:noProof/>
        </w:rPr>
        <w:instrText xml:space="preserve"> PAGEREF _Toc448741499 \h </w:instrText>
      </w:r>
      <w:r w:rsidR="00927113">
        <w:rPr>
          <w:noProof/>
        </w:rPr>
      </w:r>
      <w:r w:rsidR="00927113">
        <w:rPr>
          <w:noProof/>
        </w:rPr>
        <w:fldChar w:fldCharType="separate"/>
      </w:r>
      <w:r w:rsidR="006B1686">
        <w:rPr>
          <w:noProof/>
        </w:rPr>
        <w:t>253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6.3.7</w:t>
      </w:r>
      <w:r>
        <w:rPr>
          <w:rFonts w:asciiTheme="minorHAnsi" w:eastAsiaTheme="minorEastAsia" w:hAnsiTheme="minorHAnsi" w:cstheme="minorBidi"/>
          <w:noProof/>
          <w:sz w:val="22"/>
          <w:szCs w:val="22"/>
        </w:rPr>
        <w:tab/>
      </w:r>
      <w:r>
        <w:rPr>
          <w:noProof/>
        </w:rPr>
        <w:t>Instalación de puesta a tierra</w:t>
      </w:r>
      <w:r>
        <w:rPr>
          <w:noProof/>
        </w:rPr>
        <w:tab/>
      </w:r>
      <w:r w:rsidR="00927113">
        <w:rPr>
          <w:noProof/>
        </w:rPr>
        <w:fldChar w:fldCharType="begin"/>
      </w:r>
      <w:r>
        <w:rPr>
          <w:noProof/>
        </w:rPr>
        <w:instrText xml:space="preserve"> PAGEREF _Toc448741500 \h </w:instrText>
      </w:r>
      <w:r w:rsidR="00927113">
        <w:rPr>
          <w:noProof/>
        </w:rPr>
      </w:r>
      <w:r w:rsidR="00927113">
        <w:rPr>
          <w:noProof/>
        </w:rPr>
        <w:fldChar w:fldCharType="separate"/>
      </w:r>
      <w:r w:rsidR="006B1686">
        <w:rPr>
          <w:noProof/>
        </w:rPr>
        <w:t>254</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6.4</w:t>
      </w:r>
      <w:r>
        <w:rPr>
          <w:rFonts w:asciiTheme="minorHAnsi" w:eastAsiaTheme="minorEastAsia" w:hAnsiTheme="minorHAnsi" w:cstheme="minorBidi"/>
          <w:noProof/>
          <w:szCs w:val="22"/>
        </w:rPr>
        <w:tab/>
      </w:r>
      <w:r w:rsidRPr="00DC18DE">
        <w:rPr>
          <w:noProof/>
        </w:rPr>
        <w:t>BAJA TENSIÓN</w:t>
      </w:r>
      <w:r>
        <w:rPr>
          <w:noProof/>
        </w:rPr>
        <w:tab/>
      </w:r>
      <w:r w:rsidR="00927113">
        <w:rPr>
          <w:noProof/>
        </w:rPr>
        <w:fldChar w:fldCharType="begin"/>
      </w:r>
      <w:r>
        <w:rPr>
          <w:noProof/>
        </w:rPr>
        <w:instrText xml:space="preserve"> PAGEREF _Toc448741501 \h </w:instrText>
      </w:r>
      <w:r w:rsidR="00927113">
        <w:rPr>
          <w:noProof/>
        </w:rPr>
      </w:r>
      <w:r w:rsidR="00927113">
        <w:rPr>
          <w:noProof/>
        </w:rPr>
        <w:fldChar w:fldCharType="separate"/>
      </w:r>
      <w:r w:rsidR="006B1686">
        <w:rPr>
          <w:noProof/>
        </w:rPr>
        <w:t>255</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sidRPr="00DC18DE">
        <w:rPr>
          <w:rFonts w:cs="Arial Negrita"/>
          <w:noProof/>
        </w:rPr>
        <w:t>Artículo 6.4.1</w:t>
      </w:r>
      <w:r>
        <w:rPr>
          <w:rFonts w:asciiTheme="minorHAnsi" w:eastAsiaTheme="minorEastAsia" w:hAnsiTheme="minorHAnsi" w:cstheme="minorBidi"/>
          <w:noProof/>
          <w:sz w:val="22"/>
          <w:szCs w:val="22"/>
        </w:rPr>
        <w:tab/>
      </w:r>
      <w:r>
        <w:rPr>
          <w:noProof/>
        </w:rPr>
        <w:t>Cuadro General de Distribución de Baja Tensión (CGDBT)</w:t>
      </w:r>
      <w:r>
        <w:rPr>
          <w:noProof/>
        </w:rPr>
        <w:tab/>
      </w:r>
      <w:r w:rsidR="00927113">
        <w:rPr>
          <w:noProof/>
        </w:rPr>
        <w:fldChar w:fldCharType="begin"/>
      </w:r>
      <w:r>
        <w:rPr>
          <w:noProof/>
        </w:rPr>
        <w:instrText xml:space="preserve"> PAGEREF _Toc448741502 \h </w:instrText>
      </w:r>
      <w:r w:rsidR="00927113">
        <w:rPr>
          <w:noProof/>
        </w:rPr>
      </w:r>
      <w:r w:rsidR="00927113">
        <w:rPr>
          <w:noProof/>
        </w:rPr>
        <w:fldChar w:fldCharType="separate"/>
      </w:r>
      <w:r w:rsidR="006B1686">
        <w:rPr>
          <w:noProof/>
        </w:rPr>
        <w:t>256</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6.4.2</w:t>
      </w:r>
      <w:r>
        <w:rPr>
          <w:rFonts w:asciiTheme="minorHAnsi" w:eastAsiaTheme="minorEastAsia" w:hAnsiTheme="minorHAnsi" w:cstheme="minorBidi"/>
          <w:noProof/>
          <w:sz w:val="22"/>
          <w:szCs w:val="22"/>
        </w:rPr>
        <w:tab/>
      </w:r>
      <w:r>
        <w:rPr>
          <w:noProof/>
        </w:rPr>
        <w:t>Equipos de corrección de energía reactiva</w:t>
      </w:r>
      <w:r>
        <w:rPr>
          <w:noProof/>
        </w:rPr>
        <w:tab/>
      </w:r>
      <w:r w:rsidR="00927113">
        <w:rPr>
          <w:noProof/>
        </w:rPr>
        <w:fldChar w:fldCharType="begin"/>
      </w:r>
      <w:r>
        <w:rPr>
          <w:noProof/>
        </w:rPr>
        <w:instrText xml:space="preserve"> PAGEREF _Toc448741503 \h </w:instrText>
      </w:r>
      <w:r w:rsidR="00927113">
        <w:rPr>
          <w:noProof/>
        </w:rPr>
      </w:r>
      <w:r w:rsidR="00927113">
        <w:rPr>
          <w:noProof/>
        </w:rPr>
        <w:fldChar w:fldCharType="separate"/>
      </w:r>
      <w:r w:rsidR="006B1686">
        <w:rPr>
          <w:noProof/>
        </w:rPr>
        <w:t>260</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6.4.3</w:t>
      </w:r>
      <w:r>
        <w:rPr>
          <w:rFonts w:asciiTheme="minorHAnsi" w:eastAsiaTheme="minorEastAsia" w:hAnsiTheme="minorHAnsi" w:cstheme="minorBidi"/>
          <w:noProof/>
          <w:sz w:val="22"/>
          <w:szCs w:val="22"/>
        </w:rPr>
        <w:tab/>
      </w:r>
      <w:r>
        <w:rPr>
          <w:noProof/>
        </w:rPr>
        <w:t>Centros de control de motores (CCM)</w:t>
      </w:r>
      <w:r>
        <w:rPr>
          <w:noProof/>
        </w:rPr>
        <w:tab/>
      </w:r>
      <w:r w:rsidR="00927113">
        <w:rPr>
          <w:noProof/>
        </w:rPr>
        <w:fldChar w:fldCharType="begin"/>
      </w:r>
      <w:r>
        <w:rPr>
          <w:noProof/>
        </w:rPr>
        <w:instrText xml:space="preserve"> PAGEREF _Toc448741504 \h </w:instrText>
      </w:r>
      <w:r w:rsidR="00927113">
        <w:rPr>
          <w:noProof/>
        </w:rPr>
      </w:r>
      <w:r w:rsidR="00927113">
        <w:rPr>
          <w:noProof/>
        </w:rPr>
        <w:fldChar w:fldCharType="separate"/>
      </w:r>
      <w:r w:rsidR="006B1686">
        <w:rPr>
          <w:noProof/>
        </w:rPr>
        <w:t>264</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6.4.4</w:t>
      </w:r>
      <w:r>
        <w:rPr>
          <w:rFonts w:asciiTheme="minorHAnsi" w:eastAsiaTheme="minorEastAsia" w:hAnsiTheme="minorHAnsi" w:cstheme="minorBidi"/>
          <w:noProof/>
          <w:sz w:val="22"/>
          <w:szCs w:val="22"/>
        </w:rPr>
        <w:tab/>
      </w:r>
      <w:r>
        <w:rPr>
          <w:noProof/>
        </w:rPr>
        <w:t>Cuadros locales o auxiliares</w:t>
      </w:r>
      <w:r>
        <w:rPr>
          <w:noProof/>
        </w:rPr>
        <w:tab/>
      </w:r>
      <w:r w:rsidR="00927113">
        <w:rPr>
          <w:noProof/>
        </w:rPr>
        <w:fldChar w:fldCharType="begin"/>
      </w:r>
      <w:r>
        <w:rPr>
          <w:noProof/>
        </w:rPr>
        <w:instrText xml:space="preserve"> PAGEREF _Toc448741505 \h </w:instrText>
      </w:r>
      <w:r w:rsidR="00927113">
        <w:rPr>
          <w:noProof/>
        </w:rPr>
      </w:r>
      <w:r w:rsidR="00927113">
        <w:rPr>
          <w:noProof/>
        </w:rPr>
        <w:fldChar w:fldCharType="separate"/>
      </w:r>
      <w:r w:rsidR="006B1686">
        <w:rPr>
          <w:noProof/>
        </w:rPr>
        <w:t>273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6.4.5</w:t>
      </w:r>
      <w:r>
        <w:rPr>
          <w:rFonts w:asciiTheme="minorHAnsi" w:eastAsiaTheme="minorEastAsia" w:hAnsiTheme="minorHAnsi" w:cstheme="minorBidi"/>
          <w:noProof/>
          <w:sz w:val="22"/>
          <w:szCs w:val="22"/>
        </w:rPr>
        <w:tab/>
      </w:r>
      <w:r>
        <w:rPr>
          <w:noProof/>
        </w:rPr>
        <w:t>Líneas de alimentación, distribución, mando y señalización</w:t>
      </w:r>
      <w:r>
        <w:rPr>
          <w:noProof/>
        </w:rPr>
        <w:tab/>
      </w:r>
      <w:r w:rsidR="00927113">
        <w:rPr>
          <w:noProof/>
        </w:rPr>
        <w:fldChar w:fldCharType="begin"/>
      </w:r>
      <w:r>
        <w:rPr>
          <w:noProof/>
        </w:rPr>
        <w:instrText xml:space="preserve"> PAGEREF _Toc448741506 \h </w:instrText>
      </w:r>
      <w:r w:rsidR="00927113">
        <w:rPr>
          <w:noProof/>
        </w:rPr>
      </w:r>
      <w:r w:rsidR="00927113">
        <w:rPr>
          <w:noProof/>
        </w:rPr>
        <w:fldChar w:fldCharType="separate"/>
      </w:r>
      <w:r w:rsidR="006B1686">
        <w:rPr>
          <w:noProof/>
        </w:rPr>
        <w:t>275</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6.4.6</w:t>
      </w:r>
      <w:r>
        <w:rPr>
          <w:rFonts w:asciiTheme="minorHAnsi" w:eastAsiaTheme="minorEastAsia" w:hAnsiTheme="minorHAnsi" w:cstheme="minorBidi"/>
          <w:noProof/>
          <w:sz w:val="22"/>
          <w:szCs w:val="22"/>
        </w:rPr>
        <w:tab/>
      </w:r>
      <w:r>
        <w:rPr>
          <w:noProof/>
        </w:rPr>
        <w:t>Motores</w:t>
      </w:r>
      <w:r>
        <w:rPr>
          <w:noProof/>
        </w:rPr>
        <w:tab/>
      </w:r>
      <w:r w:rsidR="00927113">
        <w:rPr>
          <w:noProof/>
        </w:rPr>
        <w:fldChar w:fldCharType="begin"/>
      </w:r>
      <w:r>
        <w:rPr>
          <w:noProof/>
        </w:rPr>
        <w:instrText xml:space="preserve"> PAGEREF _Toc448741507 \h </w:instrText>
      </w:r>
      <w:r w:rsidR="00927113">
        <w:rPr>
          <w:noProof/>
        </w:rPr>
      </w:r>
      <w:r w:rsidR="00927113">
        <w:rPr>
          <w:noProof/>
        </w:rPr>
        <w:fldChar w:fldCharType="separate"/>
      </w:r>
      <w:r w:rsidR="006B1686">
        <w:rPr>
          <w:noProof/>
        </w:rPr>
        <w:t>278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6.4.7</w:t>
      </w:r>
      <w:r>
        <w:rPr>
          <w:rFonts w:asciiTheme="minorHAnsi" w:eastAsiaTheme="minorEastAsia" w:hAnsiTheme="minorHAnsi" w:cstheme="minorBidi"/>
          <w:noProof/>
          <w:sz w:val="22"/>
          <w:szCs w:val="22"/>
        </w:rPr>
        <w:tab/>
      </w:r>
      <w:r>
        <w:rPr>
          <w:noProof/>
        </w:rPr>
        <w:t>Instalación de tierras de utilización</w:t>
      </w:r>
      <w:r>
        <w:rPr>
          <w:noProof/>
        </w:rPr>
        <w:tab/>
      </w:r>
      <w:r w:rsidR="00927113">
        <w:rPr>
          <w:noProof/>
        </w:rPr>
        <w:fldChar w:fldCharType="begin"/>
      </w:r>
      <w:r>
        <w:rPr>
          <w:noProof/>
        </w:rPr>
        <w:instrText xml:space="preserve"> PAGEREF _Toc448741508 \h </w:instrText>
      </w:r>
      <w:r w:rsidR="00927113">
        <w:rPr>
          <w:noProof/>
        </w:rPr>
      </w:r>
      <w:r w:rsidR="00927113">
        <w:rPr>
          <w:noProof/>
        </w:rPr>
        <w:fldChar w:fldCharType="separate"/>
      </w:r>
      <w:r w:rsidR="006B1686">
        <w:rPr>
          <w:noProof/>
        </w:rPr>
        <w:t>281</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6.5</w:t>
      </w:r>
      <w:r>
        <w:rPr>
          <w:rFonts w:asciiTheme="minorHAnsi" w:eastAsiaTheme="minorEastAsia" w:hAnsiTheme="minorHAnsi" w:cstheme="minorBidi"/>
          <w:noProof/>
          <w:szCs w:val="22"/>
        </w:rPr>
        <w:tab/>
      </w:r>
      <w:r w:rsidRPr="00DC18DE">
        <w:rPr>
          <w:noProof/>
        </w:rPr>
        <w:t>ALUMBRADO</w:t>
      </w:r>
      <w:r>
        <w:rPr>
          <w:noProof/>
        </w:rPr>
        <w:tab/>
      </w:r>
      <w:r w:rsidR="00927113">
        <w:rPr>
          <w:noProof/>
        </w:rPr>
        <w:fldChar w:fldCharType="begin"/>
      </w:r>
      <w:r>
        <w:rPr>
          <w:noProof/>
        </w:rPr>
        <w:instrText xml:space="preserve"> PAGEREF _Toc448741509 \h </w:instrText>
      </w:r>
      <w:r w:rsidR="00927113">
        <w:rPr>
          <w:noProof/>
        </w:rPr>
      </w:r>
      <w:r w:rsidR="00927113">
        <w:rPr>
          <w:noProof/>
        </w:rPr>
        <w:fldChar w:fldCharType="separate"/>
      </w:r>
      <w:r w:rsidR="006B1686">
        <w:rPr>
          <w:noProof/>
        </w:rPr>
        <w:t>282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6.5.1</w:t>
      </w:r>
      <w:r>
        <w:rPr>
          <w:rFonts w:asciiTheme="minorHAnsi" w:eastAsiaTheme="minorEastAsia" w:hAnsiTheme="minorHAnsi" w:cstheme="minorBidi"/>
          <w:noProof/>
          <w:sz w:val="22"/>
          <w:szCs w:val="22"/>
        </w:rPr>
        <w:tab/>
      </w:r>
      <w:r>
        <w:rPr>
          <w:noProof/>
        </w:rPr>
        <w:t>Alumbrado exterior</w:t>
      </w:r>
      <w:r>
        <w:rPr>
          <w:noProof/>
        </w:rPr>
        <w:tab/>
      </w:r>
      <w:r w:rsidR="00927113">
        <w:rPr>
          <w:noProof/>
        </w:rPr>
        <w:fldChar w:fldCharType="begin"/>
      </w:r>
      <w:r>
        <w:rPr>
          <w:noProof/>
        </w:rPr>
        <w:instrText xml:space="preserve"> PAGEREF _Toc448741510 \h </w:instrText>
      </w:r>
      <w:r w:rsidR="00927113">
        <w:rPr>
          <w:noProof/>
        </w:rPr>
      </w:r>
      <w:r w:rsidR="00927113">
        <w:rPr>
          <w:noProof/>
        </w:rPr>
        <w:fldChar w:fldCharType="separate"/>
      </w:r>
      <w:r w:rsidR="006B1686">
        <w:rPr>
          <w:noProof/>
        </w:rPr>
        <w:t>282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6.5.2</w:t>
      </w:r>
      <w:r>
        <w:rPr>
          <w:rFonts w:asciiTheme="minorHAnsi" w:eastAsiaTheme="minorEastAsia" w:hAnsiTheme="minorHAnsi" w:cstheme="minorBidi"/>
          <w:noProof/>
          <w:sz w:val="22"/>
          <w:szCs w:val="22"/>
        </w:rPr>
        <w:tab/>
      </w:r>
      <w:r>
        <w:rPr>
          <w:noProof/>
        </w:rPr>
        <w:t>Alumbrado antideflagrante</w:t>
      </w:r>
      <w:r>
        <w:rPr>
          <w:noProof/>
        </w:rPr>
        <w:tab/>
      </w:r>
      <w:r w:rsidR="00927113">
        <w:rPr>
          <w:noProof/>
        </w:rPr>
        <w:fldChar w:fldCharType="begin"/>
      </w:r>
      <w:r>
        <w:rPr>
          <w:noProof/>
        </w:rPr>
        <w:instrText xml:space="preserve"> PAGEREF _Toc448741511 \h </w:instrText>
      </w:r>
      <w:r w:rsidR="00927113">
        <w:rPr>
          <w:noProof/>
        </w:rPr>
      </w:r>
      <w:r w:rsidR="00927113">
        <w:rPr>
          <w:noProof/>
        </w:rPr>
        <w:fldChar w:fldCharType="separate"/>
      </w:r>
      <w:r w:rsidR="006B1686">
        <w:rPr>
          <w:noProof/>
        </w:rPr>
        <w:t>283</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6.5.3</w:t>
      </w:r>
      <w:r>
        <w:rPr>
          <w:rFonts w:asciiTheme="minorHAnsi" w:eastAsiaTheme="minorEastAsia" w:hAnsiTheme="minorHAnsi" w:cstheme="minorBidi"/>
          <w:noProof/>
          <w:sz w:val="22"/>
          <w:szCs w:val="22"/>
        </w:rPr>
        <w:tab/>
      </w:r>
      <w:r>
        <w:rPr>
          <w:noProof/>
        </w:rPr>
        <w:t>Alumbrado de edificios</w:t>
      </w:r>
      <w:r>
        <w:rPr>
          <w:noProof/>
        </w:rPr>
        <w:tab/>
      </w:r>
      <w:r w:rsidR="00927113">
        <w:rPr>
          <w:noProof/>
        </w:rPr>
        <w:fldChar w:fldCharType="begin"/>
      </w:r>
      <w:r>
        <w:rPr>
          <w:noProof/>
        </w:rPr>
        <w:instrText xml:space="preserve"> PAGEREF _Toc448741512 \h </w:instrText>
      </w:r>
      <w:r w:rsidR="00927113">
        <w:rPr>
          <w:noProof/>
        </w:rPr>
      </w:r>
      <w:r w:rsidR="00927113">
        <w:rPr>
          <w:noProof/>
        </w:rPr>
        <w:fldChar w:fldCharType="separate"/>
      </w:r>
      <w:r w:rsidR="006B1686">
        <w:rPr>
          <w:noProof/>
        </w:rPr>
        <w:t>283</w:t>
      </w:r>
      <w:r w:rsidR="00927113">
        <w:rPr>
          <w:noProof/>
        </w:rPr>
        <w:fldChar w:fldCharType="end"/>
      </w:r>
    </w:p>
    <w:p w:rsidR="00360671" w:rsidRDefault="00360671">
      <w:pPr>
        <w:pStyle w:val="TDC1"/>
        <w:tabs>
          <w:tab w:val="left" w:pos="1760"/>
        </w:tabs>
        <w:rPr>
          <w:rFonts w:asciiTheme="minorHAnsi" w:eastAsiaTheme="minorEastAsia" w:hAnsiTheme="minorHAnsi" w:cstheme="minorBidi"/>
          <w:b w:val="0"/>
          <w:noProof/>
          <w:szCs w:val="22"/>
        </w:rPr>
      </w:pPr>
      <w:r w:rsidRPr="00DC18DE">
        <w:rPr>
          <w:noProof/>
          <w:u w:val="thick"/>
        </w:rPr>
        <w:t>CAPÍTULO 7.</w:t>
      </w:r>
      <w:r>
        <w:rPr>
          <w:rFonts w:asciiTheme="minorHAnsi" w:eastAsiaTheme="minorEastAsia" w:hAnsiTheme="minorHAnsi" w:cstheme="minorBidi"/>
          <w:b w:val="0"/>
          <w:noProof/>
          <w:szCs w:val="22"/>
        </w:rPr>
        <w:tab/>
      </w:r>
      <w:r>
        <w:rPr>
          <w:noProof/>
        </w:rPr>
        <w:t>INSTRUMENTACIÓN, CONTROL Y AUTOMATIZACIÓN</w:t>
      </w:r>
      <w:r>
        <w:rPr>
          <w:noProof/>
        </w:rPr>
        <w:tab/>
      </w:r>
      <w:r w:rsidR="00927113">
        <w:rPr>
          <w:noProof/>
        </w:rPr>
        <w:fldChar w:fldCharType="begin"/>
      </w:r>
      <w:r>
        <w:rPr>
          <w:noProof/>
        </w:rPr>
        <w:instrText xml:space="preserve"> PAGEREF _Toc448741513 \h </w:instrText>
      </w:r>
      <w:r w:rsidR="00927113">
        <w:rPr>
          <w:noProof/>
        </w:rPr>
      </w:r>
      <w:r w:rsidR="00927113">
        <w:rPr>
          <w:noProof/>
        </w:rPr>
        <w:fldChar w:fldCharType="separate"/>
      </w:r>
      <w:r w:rsidR="006B1686">
        <w:rPr>
          <w:noProof/>
        </w:rPr>
        <w:t>286</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7.1</w:t>
      </w:r>
      <w:r>
        <w:rPr>
          <w:rFonts w:asciiTheme="minorHAnsi" w:eastAsiaTheme="minorEastAsia" w:hAnsiTheme="minorHAnsi" w:cstheme="minorBidi"/>
          <w:noProof/>
          <w:szCs w:val="22"/>
        </w:rPr>
        <w:tab/>
      </w:r>
      <w:r w:rsidRPr="00DC18DE">
        <w:rPr>
          <w:noProof/>
        </w:rPr>
        <w:t>ESPECIFICACIONES GENERALES</w:t>
      </w:r>
      <w:r>
        <w:rPr>
          <w:noProof/>
        </w:rPr>
        <w:tab/>
      </w:r>
      <w:r w:rsidR="00927113">
        <w:rPr>
          <w:noProof/>
        </w:rPr>
        <w:fldChar w:fldCharType="begin"/>
      </w:r>
      <w:r>
        <w:rPr>
          <w:noProof/>
        </w:rPr>
        <w:instrText xml:space="preserve"> PAGEREF _Toc448741514 \h </w:instrText>
      </w:r>
      <w:r w:rsidR="00927113">
        <w:rPr>
          <w:noProof/>
        </w:rPr>
      </w:r>
      <w:r w:rsidR="00927113">
        <w:rPr>
          <w:noProof/>
        </w:rPr>
        <w:fldChar w:fldCharType="separate"/>
      </w:r>
      <w:r w:rsidR="006B1686">
        <w:rPr>
          <w:noProof/>
        </w:rPr>
        <w:t>286</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7.1.1</w:t>
      </w:r>
      <w:r>
        <w:rPr>
          <w:rFonts w:asciiTheme="minorHAnsi" w:eastAsiaTheme="minorEastAsia" w:hAnsiTheme="minorHAnsi" w:cstheme="minorBidi"/>
          <w:noProof/>
          <w:sz w:val="22"/>
          <w:szCs w:val="22"/>
        </w:rPr>
        <w:tab/>
      </w:r>
      <w:r>
        <w:rPr>
          <w:noProof/>
        </w:rPr>
        <w:t>Forma de abono de las instalaciones y equipos</w:t>
      </w:r>
      <w:r>
        <w:rPr>
          <w:noProof/>
        </w:rPr>
        <w:tab/>
      </w:r>
      <w:r w:rsidR="00927113">
        <w:rPr>
          <w:noProof/>
        </w:rPr>
        <w:fldChar w:fldCharType="begin"/>
      </w:r>
      <w:r>
        <w:rPr>
          <w:noProof/>
        </w:rPr>
        <w:instrText xml:space="preserve"> PAGEREF _Toc448741515 \h </w:instrText>
      </w:r>
      <w:r w:rsidR="00927113">
        <w:rPr>
          <w:noProof/>
        </w:rPr>
      </w:r>
      <w:r w:rsidR="00927113">
        <w:rPr>
          <w:noProof/>
        </w:rPr>
        <w:fldChar w:fldCharType="separate"/>
      </w:r>
      <w:r w:rsidR="006B1686">
        <w:rPr>
          <w:noProof/>
        </w:rPr>
        <w:t>286</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t>SUBCAPÍTULO 7.2</w:t>
      </w:r>
      <w:r>
        <w:rPr>
          <w:rFonts w:asciiTheme="minorHAnsi" w:eastAsiaTheme="minorEastAsia" w:hAnsiTheme="minorHAnsi" w:cstheme="minorBidi"/>
          <w:noProof/>
          <w:szCs w:val="22"/>
        </w:rPr>
        <w:tab/>
      </w:r>
      <w:r w:rsidRPr="00DC18DE">
        <w:rPr>
          <w:noProof/>
        </w:rPr>
        <w:t>INSTRUMENTACIÓN</w:t>
      </w:r>
      <w:r>
        <w:rPr>
          <w:noProof/>
        </w:rPr>
        <w:tab/>
      </w:r>
      <w:r w:rsidR="00927113">
        <w:rPr>
          <w:noProof/>
        </w:rPr>
        <w:fldChar w:fldCharType="begin"/>
      </w:r>
      <w:r>
        <w:rPr>
          <w:noProof/>
        </w:rPr>
        <w:instrText xml:space="preserve"> PAGEREF _Toc448741516 \h </w:instrText>
      </w:r>
      <w:r w:rsidR="00927113">
        <w:rPr>
          <w:noProof/>
        </w:rPr>
      </w:r>
      <w:r w:rsidR="00927113">
        <w:rPr>
          <w:noProof/>
        </w:rPr>
        <w:fldChar w:fldCharType="separate"/>
      </w:r>
      <w:r w:rsidR="006B1686">
        <w:rPr>
          <w:noProof/>
        </w:rPr>
        <w:t>286</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7.2.1</w:t>
      </w:r>
      <w:r>
        <w:rPr>
          <w:rFonts w:asciiTheme="minorHAnsi" w:eastAsiaTheme="minorEastAsia" w:hAnsiTheme="minorHAnsi" w:cstheme="minorBidi"/>
          <w:noProof/>
          <w:sz w:val="22"/>
          <w:szCs w:val="22"/>
        </w:rPr>
        <w:tab/>
      </w:r>
      <w:r>
        <w:rPr>
          <w:noProof/>
        </w:rPr>
        <w:t>Consideraciones generales</w:t>
      </w:r>
      <w:r>
        <w:rPr>
          <w:noProof/>
        </w:rPr>
        <w:tab/>
      </w:r>
      <w:r w:rsidR="00927113">
        <w:rPr>
          <w:noProof/>
        </w:rPr>
        <w:fldChar w:fldCharType="begin"/>
      </w:r>
      <w:r>
        <w:rPr>
          <w:noProof/>
        </w:rPr>
        <w:instrText xml:space="preserve"> PAGEREF _Toc448741517 \h </w:instrText>
      </w:r>
      <w:r w:rsidR="00927113">
        <w:rPr>
          <w:noProof/>
        </w:rPr>
      </w:r>
      <w:r w:rsidR="00927113">
        <w:rPr>
          <w:noProof/>
        </w:rPr>
        <w:fldChar w:fldCharType="separate"/>
      </w:r>
      <w:r w:rsidR="006B1686">
        <w:rPr>
          <w:noProof/>
        </w:rPr>
        <w:t>287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7.2.2</w:t>
      </w:r>
      <w:r>
        <w:rPr>
          <w:rFonts w:asciiTheme="minorHAnsi" w:eastAsiaTheme="minorEastAsia" w:hAnsiTheme="minorHAnsi" w:cstheme="minorBidi"/>
          <w:noProof/>
          <w:sz w:val="22"/>
          <w:szCs w:val="22"/>
        </w:rPr>
        <w:tab/>
      </w:r>
      <w:r>
        <w:rPr>
          <w:noProof/>
        </w:rPr>
        <w:t>Tritubo</w:t>
      </w:r>
      <w:r>
        <w:rPr>
          <w:noProof/>
        </w:rPr>
        <w:tab/>
      </w:r>
      <w:r w:rsidR="00927113">
        <w:rPr>
          <w:noProof/>
        </w:rPr>
        <w:fldChar w:fldCharType="begin"/>
      </w:r>
      <w:r>
        <w:rPr>
          <w:noProof/>
        </w:rPr>
        <w:instrText xml:space="preserve"> PAGEREF _Toc448741518 \h </w:instrText>
      </w:r>
      <w:r w:rsidR="00927113">
        <w:rPr>
          <w:noProof/>
        </w:rPr>
      </w:r>
      <w:r w:rsidR="00927113">
        <w:rPr>
          <w:noProof/>
        </w:rPr>
        <w:fldChar w:fldCharType="separate"/>
      </w:r>
      <w:r w:rsidR="006B1686">
        <w:rPr>
          <w:noProof/>
        </w:rPr>
        <w:t>287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sidRPr="00DC18DE">
        <w:rPr>
          <w:rFonts w:cs="Arial Negrita"/>
          <w:noProof/>
        </w:rPr>
        <w:t>Artículo 7.2.3</w:t>
      </w:r>
      <w:r>
        <w:rPr>
          <w:rFonts w:asciiTheme="minorHAnsi" w:eastAsiaTheme="minorEastAsia" w:hAnsiTheme="minorHAnsi" w:cstheme="minorBidi"/>
          <w:noProof/>
          <w:sz w:val="22"/>
          <w:szCs w:val="22"/>
        </w:rPr>
        <w:tab/>
      </w:r>
      <w:r>
        <w:rPr>
          <w:noProof/>
        </w:rPr>
        <w:t>Equipamiento de medida de nivel tipo radar</w:t>
      </w:r>
      <w:r>
        <w:rPr>
          <w:noProof/>
        </w:rPr>
        <w:tab/>
      </w:r>
      <w:r w:rsidR="00927113">
        <w:rPr>
          <w:noProof/>
        </w:rPr>
        <w:fldChar w:fldCharType="begin"/>
      </w:r>
      <w:r>
        <w:rPr>
          <w:noProof/>
        </w:rPr>
        <w:instrText xml:space="preserve"> PAGEREF _Toc448741519 \h </w:instrText>
      </w:r>
      <w:r w:rsidR="00927113">
        <w:rPr>
          <w:noProof/>
        </w:rPr>
      </w:r>
      <w:r w:rsidR="00927113">
        <w:rPr>
          <w:noProof/>
        </w:rPr>
        <w:fldChar w:fldCharType="separate"/>
      </w:r>
      <w:r w:rsidR="006B1686">
        <w:rPr>
          <w:noProof/>
        </w:rPr>
        <w:t>287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7.2.4</w:t>
      </w:r>
      <w:r>
        <w:rPr>
          <w:rFonts w:asciiTheme="minorHAnsi" w:eastAsiaTheme="minorEastAsia" w:hAnsiTheme="minorHAnsi" w:cstheme="minorBidi"/>
          <w:noProof/>
          <w:sz w:val="22"/>
          <w:szCs w:val="22"/>
        </w:rPr>
        <w:tab/>
      </w:r>
      <w:r>
        <w:rPr>
          <w:noProof/>
        </w:rPr>
        <w:t>Equipamiento de medida de nivel tipo ultrasónico</w:t>
      </w:r>
      <w:r>
        <w:rPr>
          <w:noProof/>
        </w:rPr>
        <w:tab/>
      </w:r>
      <w:r w:rsidR="00927113">
        <w:rPr>
          <w:noProof/>
        </w:rPr>
        <w:fldChar w:fldCharType="begin"/>
      </w:r>
      <w:r>
        <w:rPr>
          <w:noProof/>
        </w:rPr>
        <w:instrText xml:space="preserve"> PAGEREF _Toc448741520 \h </w:instrText>
      </w:r>
      <w:r w:rsidR="00927113">
        <w:rPr>
          <w:noProof/>
        </w:rPr>
      </w:r>
      <w:r w:rsidR="00927113">
        <w:rPr>
          <w:noProof/>
        </w:rPr>
        <w:fldChar w:fldCharType="separate"/>
      </w:r>
      <w:r w:rsidR="006B1686">
        <w:rPr>
          <w:noProof/>
        </w:rPr>
        <w:t>288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sidRPr="00DC18DE">
        <w:rPr>
          <w:rFonts w:cs="Arial Negrita"/>
          <w:noProof/>
        </w:rPr>
        <w:t>Artículo 7.2.5</w:t>
      </w:r>
      <w:r>
        <w:rPr>
          <w:rFonts w:asciiTheme="minorHAnsi" w:eastAsiaTheme="minorEastAsia" w:hAnsiTheme="minorHAnsi" w:cstheme="minorBidi"/>
          <w:noProof/>
          <w:sz w:val="22"/>
          <w:szCs w:val="22"/>
        </w:rPr>
        <w:tab/>
      </w:r>
      <w:r>
        <w:rPr>
          <w:noProof/>
        </w:rPr>
        <w:t>Analizadores de redes</w:t>
      </w:r>
      <w:r>
        <w:rPr>
          <w:noProof/>
        </w:rPr>
        <w:tab/>
      </w:r>
      <w:r w:rsidR="00927113">
        <w:rPr>
          <w:noProof/>
        </w:rPr>
        <w:fldChar w:fldCharType="begin"/>
      </w:r>
      <w:r>
        <w:rPr>
          <w:noProof/>
        </w:rPr>
        <w:instrText xml:space="preserve"> PAGEREF _Toc448741521 \h </w:instrText>
      </w:r>
      <w:r w:rsidR="00927113">
        <w:rPr>
          <w:noProof/>
        </w:rPr>
      </w:r>
      <w:r w:rsidR="00927113">
        <w:rPr>
          <w:noProof/>
        </w:rPr>
        <w:fldChar w:fldCharType="separate"/>
      </w:r>
      <w:r w:rsidR="006B1686">
        <w:rPr>
          <w:noProof/>
        </w:rPr>
        <w:t>288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sidRPr="00DC18DE">
        <w:rPr>
          <w:rFonts w:cs="Arial Negrita"/>
          <w:noProof/>
        </w:rPr>
        <w:t>Artículo 7.2.6</w:t>
      </w:r>
      <w:r>
        <w:rPr>
          <w:rFonts w:asciiTheme="minorHAnsi" w:eastAsiaTheme="minorEastAsia" w:hAnsiTheme="minorHAnsi" w:cstheme="minorBidi"/>
          <w:noProof/>
          <w:sz w:val="22"/>
          <w:szCs w:val="22"/>
        </w:rPr>
        <w:tab/>
      </w:r>
      <w:r>
        <w:rPr>
          <w:noProof/>
        </w:rPr>
        <w:t>Equipamiento de medida de caudal</w:t>
      </w:r>
      <w:r>
        <w:rPr>
          <w:noProof/>
        </w:rPr>
        <w:tab/>
      </w:r>
      <w:r w:rsidR="00927113">
        <w:rPr>
          <w:noProof/>
        </w:rPr>
        <w:fldChar w:fldCharType="begin"/>
      </w:r>
      <w:r>
        <w:rPr>
          <w:noProof/>
        </w:rPr>
        <w:instrText xml:space="preserve"> PAGEREF _Toc448741522 \h </w:instrText>
      </w:r>
      <w:r w:rsidR="00927113">
        <w:rPr>
          <w:noProof/>
        </w:rPr>
      </w:r>
      <w:r w:rsidR="00927113">
        <w:rPr>
          <w:noProof/>
        </w:rPr>
        <w:fldChar w:fldCharType="separate"/>
      </w:r>
      <w:r w:rsidR="006B1686">
        <w:rPr>
          <w:noProof/>
        </w:rPr>
        <w:t>290</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7.2.7</w:t>
      </w:r>
      <w:r>
        <w:rPr>
          <w:rFonts w:asciiTheme="minorHAnsi" w:eastAsiaTheme="minorEastAsia" w:hAnsiTheme="minorHAnsi" w:cstheme="minorBidi"/>
          <w:noProof/>
          <w:sz w:val="22"/>
          <w:szCs w:val="22"/>
        </w:rPr>
        <w:tab/>
      </w:r>
      <w:r>
        <w:rPr>
          <w:noProof/>
        </w:rPr>
        <w:t>Equipamiento de medida de caudal de fluidos gaseosos</w:t>
      </w:r>
      <w:r>
        <w:rPr>
          <w:noProof/>
        </w:rPr>
        <w:tab/>
      </w:r>
      <w:r w:rsidR="00927113">
        <w:rPr>
          <w:noProof/>
        </w:rPr>
        <w:fldChar w:fldCharType="begin"/>
      </w:r>
      <w:r>
        <w:rPr>
          <w:noProof/>
        </w:rPr>
        <w:instrText xml:space="preserve"> PAGEREF _Toc448741523 \h </w:instrText>
      </w:r>
      <w:r w:rsidR="00927113">
        <w:rPr>
          <w:noProof/>
        </w:rPr>
      </w:r>
      <w:r w:rsidR="00927113">
        <w:rPr>
          <w:noProof/>
        </w:rPr>
        <w:fldChar w:fldCharType="separate"/>
      </w:r>
      <w:r w:rsidR="006B1686">
        <w:rPr>
          <w:noProof/>
        </w:rPr>
        <w:t>292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7.2.8</w:t>
      </w:r>
      <w:r>
        <w:rPr>
          <w:rFonts w:asciiTheme="minorHAnsi" w:eastAsiaTheme="minorEastAsia" w:hAnsiTheme="minorHAnsi" w:cstheme="minorBidi"/>
          <w:noProof/>
          <w:sz w:val="22"/>
          <w:szCs w:val="22"/>
        </w:rPr>
        <w:tab/>
      </w:r>
      <w:r>
        <w:rPr>
          <w:noProof/>
        </w:rPr>
        <w:t>Equipamiento de medida de oxígeno disuelto</w:t>
      </w:r>
      <w:r>
        <w:rPr>
          <w:noProof/>
        </w:rPr>
        <w:tab/>
      </w:r>
      <w:r w:rsidR="00927113">
        <w:rPr>
          <w:noProof/>
        </w:rPr>
        <w:fldChar w:fldCharType="begin"/>
      </w:r>
      <w:r>
        <w:rPr>
          <w:noProof/>
        </w:rPr>
        <w:instrText xml:space="preserve"> PAGEREF _Toc448741524 \h </w:instrText>
      </w:r>
      <w:r w:rsidR="00927113">
        <w:rPr>
          <w:noProof/>
        </w:rPr>
      </w:r>
      <w:r w:rsidR="00927113">
        <w:rPr>
          <w:noProof/>
        </w:rPr>
        <w:fldChar w:fldCharType="separate"/>
      </w:r>
      <w:r w:rsidR="006B1686">
        <w:rPr>
          <w:noProof/>
        </w:rPr>
        <w:t>292</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sidRPr="00DC18DE">
        <w:rPr>
          <w:rFonts w:cs="Arial Negrita"/>
          <w:noProof/>
        </w:rPr>
        <w:t>Artículo 7.2.9</w:t>
      </w:r>
      <w:r>
        <w:rPr>
          <w:rFonts w:asciiTheme="minorHAnsi" w:eastAsiaTheme="minorEastAsia" w:hAnsiTheme="minorHAnsi" w:cstheme="minorBidi"/>
          <w:noProof/>
          <w:sz w:val="22"/>
          <w:szCs w:val="22"/>
        </w:rPr>
        <w:tab/>
      </w:r>
      <w:r>
        <w:rPr>
          <w:noProof/>
        </w:rPr>
        <w:t>Equipamiento de medida de temperatura</w:t>
      </w:r>
      <w:r>
        <w:rPr>
          <w:noProof/>
        </w:rPr>
        <w:tab/>
      </w:r>
      <w:r w:rsidR="00927113">
        <w:rPr>
          <w:noProof/>
        </w:rPr>
        <w:fldChar w:fldCharType="begin"/>
      </w:r>
      <w:r>
        <w:rPr>
          <w:noProof/>
        </w:rPr>
        <w:instrText xml:space="preserve"> PAGEREF _Toc448741525 \h </w:instrText>
      </w:r>
      <w:r w:rsidR="00927113">
        <w:rPr>
          <w:noProof/>
        </w:rPr>
      </w:r>
      <w:r w:rsidR="00927113">
        <w:rPr>
          <w:noProof/>
        </w:rPr>
        <w:fldChar w:fldCharType="separate"/>
      </w:r>
      <w:r w:rsidR="006B1686">
        <w:rPr>
          <w:noProof/>
        </w:rPr>
        <w:t>292</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sidRPr="00DC18DE">
        <w:rPr>
          <w:rFonts w:cs="Arial Negrita"/>
          <w:noProof/>
        </w:rPr>
        <w:t>Artículo 7.2.10</w:t>
      </w:r>
      <w:r>
        <w:rPr>
          <w:rFonts w:asciiTheme="minorHAnsi" w:eastAsiaTheme="minorEastAsia" w:hAnsiTheme="minorHAnsi" w:cstheme="minorBidi"/>
          <w:noProof/>
          <w:sz w:val="22"/>
          <w:szCs w:val="22"/>
        </w:rPr>
        <w:tab/>
      </w:r>
      <w:r>
        <w:rPr>
          <w:noProof/>
        </w:rPr>
        <w:t>Equipamiento de medida de pH</w:t>
      </w:r>
      <w:r>
        <w:rPr>
          <w:noProof/>
        </w:rPr>
        <w:tab/>
      </w:r>
      <w:r w:rsidR="00927113">
        <w:rPr>
          <w:noProof/>
        </w:rPr>
        <w:fldChar w:fldCharType="begin"/>
      </w:r>
      <w:r>
        <w:rPr>
          <w:noProof/>
        </w:rPr>
        <w:instrText xml:space="preserve"> PAGEREF _Toc448741526 \h </w:instrText>
      </w:r>
      <w:r w:rsidR="00927113">
        <w:rPr>
          <w:noProof/>
        </w:rPr>
      </w:r>
      <w:r w:rsidR="00927113">
        <w:rPr>
          <w:noProof/>
        </w:rPr>
        <w:fldChar w:fldCharType="separate"/>
      </w:r>
      <w:r w:rsidR="006B1686">
        <w:rPr>
          <w:noProof/>
        </w:rPr>
        <w:t>293</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sidRPr="00DC18DE">
        <w:rPr>
          <w:rFonts w:cs="Arial Negrita"/>
          <w:noProof/>
        </w:rPr>
        <w:t>Artículo 7.2.11</w:t>
      </w:r>
      <w:r>
        <w:rPr>
          <w:rFonts w:asciiTheme="minorHAnsi" w:eastAsiaTheme="minorEastAsia" w:hAnsiTheme="minorHAnsi" w:cstheme="minorBidi"/>
          <w:noProof/>
          <w:sz w:val="22"/>
          <w:szCs w:val="22"/>
        </w:rPr>
        <w:tab/>
      </w:r>
      <w:r>
        <w:rPr>
          <w:noProof/>
        </w:rPr>
        <w:t>Equipamiento de medida de presión</w:t>
      </w:r>
      <w:r>
        <w:rPr>
          <w:noProof/>
        </w:rPr>
        <w:tab/>
      </w:r>
      <w:r w:rsidR="00927113">
        <w:rPr>
          <w:noProof/>
        </w:rPr>
        <w:fldChar w:fldCharType="begin"/>
      </w:r>
      <w:r>
        <w:rPr>
          <w:noProof/>
        </w:rPr>
        <w:instrText xml:space="preserve"> PAGEREF _Toc448741527 \h </w:instrText>
      </w:r>
      <w:r w:rsidR="00927113">
        <w:rPr>
          <w:noProof/>
        </w:rPr>
      </w:r>
      <w:r w:rsidR="00927113">
        <w:rPr>
          <w:noProof/>
        </w:rPr>
        <w:fldChar w:fldCharType="separate"/>
      </w:r>
      <w:r w:rsidR="006B1686">
        <w:rPr>
          <w:noProof/>
        </w:rPr>
        <w:t>294</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sidRPr="00DC18DE">
        <w:rPr>
          <w:rFonts w:cs="Arial Negrita"/>
          <w:noProof/>
        </w:rPr>
        <w:t>Artículo 7.2.12</w:t>
      </w:r>
      <w:r>
        <w:rPr>
          <w:rFonts w:asciiTheme="minorHAnsi" w:eastAsiaTheme="minorEastAsia" w:hAnsiTheme="minorHAnsi" w:cstheme="minorBidi"/>
          <w:noProof/>
          <w:sz w:val="22"/>
          <w:szCs w:val="22"/>
        </w:rPr>
        <w:tab/>
      </w:r>
      <w:r>
        <w:rPr>
          <w:noProof/>
        </w:rPr>
        <w:t>Equipamiento de medida de protección redox</w:t>
      </w:r>
      <w:r>
        <w:rPr>
          <w:noProof/>
        </w:rPr>
        <w:tab/>
      </w:r>
      <w:r w:rsidR="00927113">
        <w:rPr>
          <w:noProof/>
        </w:rPr>
        <w:fldChar w:fldCharType="begin"/>
      </w:r>
      <w:r>
        <w:rPr>
          <w:noProof/>
        </w:rPr>
        <w:instrText xml:space="preserve"> PAGEREF _Toc448741528 \h </w:instrText>
      </w:r>
      <w:r w:rsidR="00927113">
        <w:rPr>
          <w:noProof/>
        </w:rPr>
      </w:r>
      <w:r w:rsidR="00927113">
        <w:rPr>
          <w:noProof/>
        </w:rPr>
        <w:fldChar w:fldCharType="separate"/>
      </w:r>
      <w:r w:rsidR="006B1686">
        <w:rPr>
          <w:noProof/>
        </w:rPr>
        <w:t>294</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sidRPr="00DC18DE">
        <w:rPr>
          <w:rFonts w:cs="Arial Negrita"/>
          <w:noProof/>
        </w:rPr>
        <w:t>Artículo 7.2.13</w:t>
      </w:r>
      <w:r>
        <w:rPr>
          <w:rFonts w:asciiTheme="minorHAnsi" w:eastAsiaTheme="minorEastAsia" w:hAnsiTheme="minorHAnsi" w:cstheme="minorBidi"/>
          <w:noProof/>
          <w:sz w:val="22"/>
          <w:szCs w:val="22"/>
        </w:rPr>
        <w:tab/>
      </w:r>
      <w:r>
        <w:rPr>
          <w:noProof/>
        </w:rPr>
        <w:t>Cableado de instrumentación</w:t>
      </w:r>
      <w:r>
        <w:rPr>
          <w:noProof/>
        </w:rPr>
        <w:tab/>
      </w:r>
      <w:r w:rsidR="00927113">
        <w:rPr>
          <w:noProof/>
        </w:rPr>
        <w:fldChar w:fldCharType="begin"/>
      </w:r>
      <w:r>
        <w:rPr>
          <w:noProof/>
        </w:rPr>
        <w:instrText xml:space="preserve"> PAGEREF _Toc448741529 \h </w:instrText>
      </w:r>
      <w:r w:rsidR="00927113">
        <w:rPr>
          <w:noProof/>
        </w:rPr>
      </w:r>
      <w:r w:rsidR="00927113">
        <w:rPr>
          <w:noProof/>
        </w:rPr>
        <w:fldChar w:fldCharType="separate"/>
      </w:r>
      <w:r w:rsidR="006B1686">
        <w:rPr>
          <w:noProof/>
        </w:rPr>
        <w:t>294</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7.2.14</w:t>
      </w:r>
      <w:r>
        <w:rPr>
          <w:rFonts w:asciiTheme="minorHAnsi" w:eastAsiaTheme="minorEastAsia" w:hAnsiTheme="minorHAnsi" w:cstheme="minorBidi"/>
          <w:noProof/>
          <w:sz w:val="22"/>
          <w:szCs w:val="22"/>
        </w:rPr>
        <w:tab/>
      </w:r>
      <w:r>
        <w:rPr>
          <w:noProof/>
        </w:rPr>
        <w:t>Totalizadores integrados</w:t>
      </w:r>
      <w:r>
        <w:rPr>
          <w:noProof/>
        </w:rPr>
        <w:tab/>
      </w:r>
      <w:r w:rsidR="00927113">
        <w:rPr>
          <w:noProof/>
        </w:rPr>
        <w:fldChar w:fldCharType="begin"/>
      </w:r>
      <w:r>
        <w:rPr>
          <w:noProof/>
        </w:rPr>
        <w:instrText xml:space="preserve"> PAGEREF _Toc448741530 \h </w:instrText>
      </w:r>
      <w:r w:rsidR="00927113">
        <w:rPr>
          <w:noProof/>
        </w:rPr>
      </w:r>
      <w:r w:rsidR="00927113">
        <w:rPr>
          <w:noProof/>
        </w:rPr>
        <w:fldChar w:fldCharType="separate"/>
      </w:r>
      <w:r w:rsidR="006B1686">
        <w:rPr>
          <w:noProof/>
        </w:rPr>
        <w:t>295</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7.2.15</w:t>
      </w:r>
      <w:r>
        <w:rPr>
          <w:rFonts w:asciiTheme="minorHAnsi" w:eastAsiaTheme="minorEastAsia" w:hAnsiTheme="minorHAnsi" w:cstheme="minorBidi"/>
          <w:noProof/>
          <w:sz w:val="22"/>
          <w:szCs w:val="22"/>
        </w:rPr>
        <w:tab/>
      </w:r>
      <w:r>
        <w:rPr>
          <w:noProof/>
        </w:rPr>
        <w:t>Actuadores eléctricos multivuelta</w:t>
      </w:r>
      <w:r>
        <w:rPr>
          <w:noProof/>
        </w:rPr>
        <w:tab/>
      </w:r>
      <w:r w:rsidR="00927113">
        <w:rPr>
          <w:noProof/>
        </w:rPr>
        <w:fldChar w:fldCharType="begin"/>
      </w:r>
      <w:r>
        <w:rPr>
          <w:noProof/>
        </w:rPr>
        <w:instrText xml:space="preserve"> PAGEREF _Toc448741531 \h </w:instrText>
      </w:r>
      <w:r w:rsidR="00927113">
        <w:rPr>
          <w:noProof/>
        </w:rPr>
      </w:r>
      <w:r w:rsidR="00927113">
        <w:rPr>
          <w:noProof/>
        </w:rPr>
        <w:fldChar w:fldCharType="separate"/>
      </w:r>
      <w:r w:rsidR="006B1686">
        <w:rPr>
          <w:noProof/>
        </w:rPr>
        <w:t>295</w:t>
      </w:r>
      <w:r w:rsidR="00927113">
        <w:rPr>
          <w:noProof/>
        </w:rPr>
        <w:fldChar w:fldCharType="end"/>
      </w:r>
    </w:p>
    <w:p w:rsidR="00360671" w:rsidRDefault="00360671">
      <w:pPr>
        <w:pStyle w:val="TDC3"/>
        <w:tabs>
          <w:tab w:val="left" w:pos="1913"/>
        </w:tabs>
        <w:rPr>
          <w:rFonts w:asciiTheme="minorHAnsi" w:eastAsiaTheme="minorEastAsia" w:hAnsiTheme="minorHAnsi" w:cstheme="minorBidi"/>
          <w:noProof/>
          <w:sz w:val="22"/>
          <w:szCs w:val="22"/>
        </w:rPr>
      </w:pPr>
      <w:r>
        <w:rPr>
          <w:noProof/>
        </w:rPr>
        <w:t>Artículo 7.2.16</w:t>
      </w:r>
      <w:r>
        <w:rPr>
          <w:rFonts w:asciiTheme="minorHAnsi" w:eastAsiaTheme="minorEastAsia" w:hAnsiTheme="minorHAnsi" w:cstheme="minorBidi"/>
          <w:noProof/>
          <w:sz w:val="22"/>
          <w:szCs w:val="22"/>
        </w:rPr>
        <w:tab/>
      </w:r>
      <w:r>
        <w:rPr>
          <w:noProof/>
        </w:rPr>
        <w:t>Instalación a la intemperie</w:t>
      </w:r>
      <w:r>
        <w:rPr>
          <w:noProof/>
        </w:rPr>
        <w:tab/>
      </w:r>
      <w:r w:rsidR="00927113">
        <w:rPr>
          <w:noProof/>
        </w:rPr>
        <w:fldChar w:fldCharType="begin"/>
      </w:r>
      <w:r>
        <w:rPr>
          <w:noProof/>
        </w:rPr>
        <w:instrText xml:space="preserve"> PAGEREF _Toc448741532 \h </w:instrText>
      </w:r>
      <w:r w:rsidR="00927113">
        <w:rPr>
          <w:noProof/>
        </w:rPr>
      </w:r>
      <w:r w:rsidR="00927113">
        <w:rPr>
          <w:noProof/>
        </w:rPr>
        <w:fldChar w:fldCharType="separate"/>
      </w:r>
      <w:r w:rsidR="006B1686">
        <w:rPr>
          <w:noProof/>
        </w:rPr>
        <w:t>297</w:t>
      </w:r>
      <w:r w:rsidR="00927113">
        <w:rPr>
          <w:noProof/>
        </w:rPr>
        <w:fldChar w:fldCharType="end"/>
      </w:r>
    </w:p>
    <w:p w:rsidR="00360671" w:rsidRDefault="00360671">
      <w:pPr>
        <w:pStyle w:val="TDC2"/>
        <w:tabs>
          <w:tab w:val="left" w:pos="2378"/>
        </w:tabs>
        <w:rPr>
          <w:rFonts w:asciiTheme="minorHAnsi" w:eastAsiaTheme="minorEastAsia" w:hAnsiTheme="minorHAnsi" w:cstheme="minorBidi"/>
          <w:noProof/>
          <w:szCs w:val="22"/>
        </w:rPr>
      </w:pPr>
      <w:r w:rsidRPr="00DC18DE">
        <w:rPr>
          <w:rFonts w:cs="Arial"/>
          <w:noProof/>
        </w:rPr>
        <w:lastRenderedPageBreak/>
        <w:t>SUBCAPÍTULO 7.3</w:t>
      </w:r>
      <w:r>
        <w:rPr>
          <w:rFonts w:asciiTheme="minorHAnsi" w:eastAsiaTheme="minorEastAsia" w:hAnsiTheme="minorHAnsi" w:cstheme="minorBidi"/>
          <w:noProof/>
          <w:szCs w:val="22"/>
        </w:rPr>
        <w:tab/>
      </w:r>
      <w:r w:rsidRPr="00DC18DE">
        <w:rPr>
          <w:noProof/>
        </w:rPr>
        <w:t>AUTOMATIZACIÓN</w:t>
      </w:r>
      <w:r>
        <w:rPr>
          <w:noProof/>
        </w:rPr>
        <w:tab/>
      </w:r>
      <w:r w:rsidR="00927113">
        <w:rPr>
          <w:noProof/>
        </w:rPr>
        <w:fldChar w:fldCharType="begin"/>
      </w:r>
      <w:r>
        <w:rPr>
          <w:noProof/>
        </w:rPr>
        <w:instrText xml:space="preserve"> PAGEREF _Toc448741533 \h </w:instrText>
      </w:r>
      <w:r w:rsidR="00927113">
        <w:rPr>
          <w:noProof/>
        </w:rPr>
      </w:r>
      <w:r w:rsidR="00927113">
        <w:rPr>
          <w:noProof/>
        </w:rPr>
        <w:fldChar w:fldCharType="separate"/>
      </w:r>
      <w:r w:rsidR="006B1686">
        <w:rPr>
          <w:noProof/>
        </w:rPr>
        <w:t>297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7.3.1</w:t>
      </w:r>
      <w:r>
        <w:rPr>
          <w:rFonts w:asciiTheme="minorHAnsi" w:eastAsiaTheme="minorEastAsia" w:hAnsiTheme="minorHAnsi" w:cstheme="minorBidi"/>
          <w:noProof/>
          <w:sz w:val="22"/>
          <w:szCs w:val="22"/>
        </w:rPr>
        <w:tab/>
      </w:r>
      <w:r>
        <w:rPr>
          <w:noProof/>
        </w:rPr>
        <w:t>Consideraciones generales</w:t>
      </w:r>
      <w:r>
        <w:rPr>
          <w:noProof/>
        </w:rPr>
        <w:tab/>
      </w:r>
      <w:r w:rsidR="00927113">
        <w:rPr>
          <w:noProof/>
        </w:rPr>
        <w:fldChar w:fldCharType="begin"/>
      </w:r>
      <w:r>
        <w:rPr>
          <w:noProof/>
        </w:rPr>
        <w:instrText xml:space="preserve"> PAGEREF _Toc448741534 \h </w:instrText>
      </w:r>
      <w:r w:rsidR="00927113">
        <w:rPr>
          <w:noProof/>
        </w:rPr>
      </w:r>
      <w:r w:rsidR="00927113">
        <w:rPr>
          <w:noProof/>
        </w:rPr>
        <w:fldChar w:fldCharType="separate"/>
      </w:r>
      <w:r w:rsidR="006B1686">
        <w:rPr>
          <w:noProof/>
        </w:rPr>
        <w:t>297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7.3.2</w:t>
      </w:r>
      <w:r>
        <w:rPr>
          <w:rFonts w:asciiTheme="minorHAnsi" w:eastAsiaTheme="minorEastAsia" w:hAnsiTheme="minorHAnsi" w:cstheme="minorBidi"/>
          <w:noProof/>
          <w:sz w:val="22"/>
          <w:szCs w:val="22"/>
        </w:rPr>
        <w:tab/>
      </w:r>
      <w:r>
        <w:rPr>
          <w:noProof/>
        </w:rPr>
        <w:t>Armarios</w:t>
      </w:r>
      <w:r>
        <w:rPr>
          <w:noProof/>
        </w:rPr>
        <w:tab/>
      </w:r>
      <w:r w:rsidR="00927113">
        <w:rPr>
          <w:noProof/>
        </w:rPr>
        <w:fldChar w:fldCharType="begin"/>
      </w:r>
      <w:r>
        <w:rPr>
          <w:noProof/>
        </w:rPr>
        <w:instrText xml:space="preserve"> PAGEREF _Toc448741535 \h </w:instrText>
      </w:r>
      <w:r w:rsidR="00927113">
        <w:rPr>
          <w:noProof/>
        </w:rPr>
      </w:r>
      <w:r w:rsidR="00927113">
        <w:rPr>
          <w:noProof/>
        </w:rPr>
        <w:fldChar w:fldCharType="separate"/>
      </w:r>
      <w:r w:rsidR="006B1686">
        <w:rPr>
          <w:noProof/>
        </w:rPr>
        <w:t>297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7.3.3</w:t>
      </w:r>
      <w:r>
        <w:rPr>
          <w:rFonts w:asciiTheme="minorHAnsi" w:eastAsiaTheme="minorEastAsia" w:hAnsiTheme="minorHAnsi" w:cstheme="minorBidi"/>
          <w:noProof/>
          <w:sz w:val="22"/>
          <w:szCs w:val="22"/>
        </w:rPr>
        <w:tab/>
      </w:r>
      <w:r>
        <w:rPr>
          <w:noProof/>
        </w:rPr>
        <w:t>Autómatas de control</w:t>
      </w:r>
      <w:r>
        <w:rPr>
          <w:noProof/>
        </w:rPr>
        <w:tab/>
      </w:r>
      <w:r w:rsidR="00927113">
        <w:rPr>
          <w:noProof/>
        </w:rPr>
        <w:fldChar w:fldCharType="begin"/>
      </w:r>
      <w:r>
        <w:rPr>
          <w:noProof/>
        </w:rPr>
        <w:instrText xml:space="preserve"> PAGEREF _Toc448741536 \h </w:instrText>
      </w:r>
      <w:r w:rsidR="00927113">
        <w:rPr>
          <w:noProof/>
        </w:rPr>
      </w:r>
      <w:r w:rsidR="00927113">
        <w:rPr>
          <w:noProof/>
        </w:rPr>
        <w:fldChar w:fldCharType="separate"/>
      </w:r>
      <w:r w:rsidR="006B1686">
        <w:rPr>
          <w:noProof/>
        </w:rPr>
        <w:t>299</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7.3.4</w:t>
      </w:r>
      <w:r>
        <w:rPr>
          <w:rFonts w:asciiTheme="minorHAnsi" w:eastAsiaTheme="minorEastAsia" w:hAnsiTheme="minorHAnsi" w:cstheme="minorBidi"/>
          <w:noProof/>
          <w:sz w:val="22"/>
          <w:szCs w:val="22"/>
        </w:rPr>
        <w:tab/>
      </w:r>
      <w:r>
        <w:rPr>
          <w:noProof/>
        </w:rPr>
        <w:t>Comunicaciones</w:t>
      </w:r>
      <w:r>
        <w:rPr>
          <w:noProof/>
        </w:rPr>
        <w:tab/>
      </w:r>
      <w:r w:rsidR="00927113">
        <w:rPr>
          <w:noProof/>
        </w:rPr>
        <w:fldChar w:fldCharType="begin"/>
      </w:r>
      <w:r>
        <w:rPr>
          <w:noProof/>
        </w:rPr>
        <w:instrText xml:space="preserve"> PAGEREF _Toc448741537 \h </w:instrText>
      </w:r>
      <w:r w:rsidR="00927113">
        <w:rPr>
          <w:noProof/>
        </w:rPr>
      </w:r>
      <w:r w:rsidR="00927113">
        <w:rPr>
          <w:noProof/>
        </w:rPr>
        <w:fldChar w:fldCharType="separate"/>
      </w:r>
      <w:r w:rsidR="006B1686">
        <w:rPr>
          <w:noProof/>
        </w:rPr>
        <w:t>301</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7.3.5</w:t>
      </w:r>
      <w:r>
        <w:rPr>
          <w:rFonts w:asciiTheme="minorHAnsi" w:eastAsiaTheme="minorEastAsia" w:hAnsiTheme="minorHAnsi" w:cstheme="minorBidi"/>
          <w:noProof/>
          <w:sz w:val="22"/>
          <w:szCs w:val="22"/>
        </w:rPr>
        <w:tab/>
      </w:r>
      <w:r>
        <w:rPr>
          <w:noProof/>
        </w:rPr>
        <w:t>Supervisión y control</w:t>
      </w:r>
      <w:r>
        <w:rPr>
          <w:noProof/>
        </w:rPr>
        <w:tab/>
      </w:r>
      <w:r w:rsidR="00927113">
        <w:rPr>
          <w:noProof/>
        </w:rPr>
        <w:fldChar w:fldCharType="begin"/>
      </w:r>
      <w:r>
        <w:rPr>
          <w:noProof/>
        </w:rPr>
        <w:instrText xml:space="preserve"> PAGEREF _Toc448741538 \h </w:instrText>
      </w:r>
      <w:r w:rsidR="00927113">
        <w:rPr>
          <w:noProof/>
        </w:rPr>
      </w:r>
      <w:r w:rsidR="00927113">
        <w:rPr>
          <w:noProof/>
        </w:rPr>
        <w:fldChar w:fldCharType="separate"/>
      </w:r>
      <w:r w:rsidR="006B1686">
        <w:rPr>
          <w:noProof/>
        </w:rPr>
        <w:t>302</w:t>
      </w:r>
      <w:r w:rsidR="00927113">
        <w:rPr>
          <w:noProof/>
        </w:rPr>
        <w:fldChar w:fldCharType="end"/>
      </w:r>
    </w:p>
    <w:p w:rsidR="00360671" w:rsidRDefault="00360671">
      <w:pPr>
        <w:pStyle w:val="TDC1"/>
        <w:tabs>
          <w:tab w:val="left" w:pos="1760"/>
        </w:tabs>
        <w:rPr>
          <w:rFonts w:asciiTheme="minorHAnsi" w:eastAsiaTheme="minorEastAsia" w:hAnsiTheme="minorHAnsi" w:cstheme="minorBidi"/>
          <w:b w:val="0"/>
          <w:noProof/>
          <w:szCs w:val="22"/>
        </w:rPr>
      </w:pPr>
      <w:r w:rsidRPr="00DC18DE">
        <w:rPr>
          <w:noProof/>
          <w:u w:val="thick"/>
        </w:rPr>
        <w:t>CAPÍTULO 8.</w:t>
      </w:r>
      <w:r>
        <w:rPr>
          <w:rFonts w:asciiTheme="minorHAnsi" w:eastAsiaTheme="minorEastAsia" w:hAnsiTheme="minorHAnsi" w:cstheme="minorBidi"/>
          <w:b w:val="0"/>
          <w:noProof/>
          <w:szCs w:val="22"/>
        </w:rPr>
        <w:tab/>
      </w:r>
      <w:r>
        <w:rPr>
          <w:noProof/>
        </w:rPr>
        <w:t>SEGURIDAD Y SALUD EN LAS INSTALACIONES</w:t>
      </w:r>
      <w:r>
        <w:rPr>
          <w:noProof/>
        </w:rPr>
        <w:tab/>
      </w:r>
      <w:r w:rsidR="00927113">
        <w:rPr>
          <w:noProof/>
        </w:rPr>
        <w:fldChar w:fldCharType="begin"/>
      </w:r>
      <w:r>
        <w:rPr>
          <w:noProof/>
        </w:rPr>
        <w:instrText xml:space="preserve"> PAGEREF _Toc448741539 \h </w:instrText>
      </w:r>
      <w:r w:rsidR="00927113">
        <w:rPr>
          <w:noProof/>
        </w:rPr>
      </w:r>
      <w:r w:rsidR="00927113">
        <w:rPr>
          <w:noProof/>
        </w:rPr>
        <w:fldChar w:fldCharType="separate"/>
      </w:r>
      <w:r w:rsidR="006B1686">
        <w:rPr>
          <w:noProof/>
        </w:rPr>
        <w:t>307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8.1.1</w:t>
      </w:r>
      <w:r>
        <w:rPr>
          <w:rFonts w:asciiTheme="minorHAnsi" w:eastAsiaTheme="minorEastAsia" w:hAnsiTheme="minorHAnsi" w:cstheme="minorBidi"/>
          <w:noProof/>
          <w:sz w:val="22"/>
          <w:szCs w:val="22"/>
        </w:rPr>
        <w:tab/>
      </w:r>
      <w:r>
        <w:rPr>
          <w:noProof/>
        </w:rPr>
        <w:t>Generalidades</w:t>
      </w:r>
      <w:r>
        <w:rPr>
          <w:noProof/>
        </w:rPr>
        <w:tab/>
      </w:r>
      <w:r w:rsidR="00927113">
        <w:rPr>
          <w:noProof/>
        </w:rPr>
        <w:fldChar w:fldCharType="begin"/>
      </w:r>
      <w:r>
        <w:rPr>
          <w:noProof/>
        </w:rPr>
        <w:instrText xml:space="preserve"> PAGEREF _Toc448741540 \h </w:instrText>
      </w:r>
      <w:r w:rsidR="00927113">
        <w:rPr>
          <w:noProof/>
        </w:rPr>
      </w:r>
      <w:r w:rsidR="00927113">
        <w:rPr>
          <w:noProof/>
        </w:rPr>
        <w:fldChar w:fldCharType="separate"/>
      </w:r>
      <w:r w:rsidR="006B1686">
        <w:rPr>
          <w:noProof/>
        </w:rPr>
        <w:t>307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8.1.2</w:t>
      </w:r>
      <w:r>
        <w:rPr>
          <w:rFonts w:asciiTheme="minorHAnsi" w:eastAsiaTheme="minorEastAsia" w:hAnsiTheme="minorHAnsi" w:cstheme="minorBidi"/>
          <w:noProof/>
          <w:sz w:val="22"/>
          <w:szCs w:val="22"/>
        </w:rPr>
        <w:tab/>
      </w:r>
      <w:r>
        <w:rPr>
          <w:noProof/>
        </w:rPr>
        <w:t>Plataformas, escaleras, soportes y barandillas</w:t>
      </w:r>
      <w:r>
        <w:rPr>
          <w:noProof/>
        </w:rPr>
        <w:tab/>
      </w:r>
      <w:r w:rsidR="00927113">
        <w:rPr>
          <w:noProof/>
        </w:rPr>
        <w:fldChar w:fldCharType="begin"/>
      </w:r>
      <w:r>
        <w:rPr>
          <w:noProof/>
        </w:rPr>
        <w:instrText xml:space="preserve"> PAGEREF _Toc448741541 \h </w:instrText>
      </w:r>
      <w:r w:rsidR="00927113">
        <w:rPr>
          <w:noProof/>
        </w:rPr>
      </w:r>
      <w:r w:rsidR="00927113">
        <w:rPr>
          <w:noProof/>
        </w:rPr>
        <w:fldChar w:fldCharType="separate"/>
      </w:r>
      <w:r w:rsidR="006B1686">
        <w:rPr>
          <w:noProof/>
        </w:rPr>
        <w:t>307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8.1.3</w:t>
      </w:r>
      <w:r>
        <w:rPr>
          <w:rFonts w:asciiTheme="minorHAnsi" w:eastAsiaTheme="minorEastAsia" w:hAnsiTheme="minorHAnsi" w:cstheme="minorBidi"/>
          <w:noProof/>
          <w:sz w:val="22"/>
          <w:szCs w:val="22"/>
        </w:rPr>
        <w:tab/>
      </w:r>
      <w:r>
        <w:rPr>
          <w:noProof/>
        </w:rPr>
        <w:t>Zonas resbaladizas</w:t>
      </w:r>
      <w:r>
        <w:rPr>
          <w:noProof/>
        </w:rPr>
        <w:tab/>
      </w:r>
      <w:r w:rsidR="00927113">
        <w:rPr>
          <w:noProof/>
        </w:rPr>
        <w:fldChar w:fldCharType="begin"/>
      </w:r>
      <w:r>
        <w:rPr>
          <w:noProof/>
        </w:rPr>
        <w:instrText xml:space="preserve"> PAGEREF _Toc448741542 \h </w:instrText>
      </w:r>
      <w:r w:rsidR="00927113">
        <w:rPr>
          <w:noProof/>
        </w:rPr>
      </w:r>
      <w:r w:rsidR="00927113">
        <w:rPr>
          <w:noProof/>
        </w:rPr>
        <w:fldChar w:fldCharType="separate"/>
      </w:r>
      <w:r w:rsidR="006B1686">
        <w:rPr>
          <w:noProof/>
        </w:rPr>
        <w:t>307</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8.1.4</w:t>
      </w:r>
      <w:r>
        <w:rPr>
          <w:rFonts w:asciiTheme="minorHAnsi" w:eastAsiaTheme="minorEastAsia" w:hAnsiTheme="minorHAnsi" w:cstheme="minorBidi"/>
          <w:noProof/>
          <w:sz w:val="22"/>
          <w:szCs w:val="22"/>
        </w:rPr>
        <w:tab/>
      </w:r>
      <w:r>
        <w:rPr>
          <w:noProof/>
        </w:rPr>
        <w:t>Nivel de ruidos de los equipos</w:t>
      </w:r>
      <w:r>
        <w:rPr>
          <w:noProof/>
        </w:rPr>
        <w:tab/>
      </w:r>
      <w:r w:rsidR="00927113">
        <w:rPr>
          <w:noProof/>
        </w:rPr>
        <w:fldChar w:fldCharType="begin"/>
      </w:r>
      <w:r>
        <w:rPr>
          <w:noProof/>
        </w:rPr>
        <w:instrText xml:space="preserve"> PAGEREF _Toc448741543 \h </w:instrText>
      </w:r>
      <w:r w:rsidR="00927113">
        <w:rPr>
          <w:noProof/>
        </w:rPr>
      </w:r>
      <w:r w:rsidR="00927113">
        <w:rPr>
          <w:noProof/>
        </w:rPr>
        <w:fldChar w:fldCharType="separate"/>
      </w:r>
      <w:r w:rsidR="006B1686">
        <w:rPr>
          <w:noProof/>
        </w:rPr>
        <w:t>308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8.1.5</w:t>
      </w:r>
      <w:r>
        <w:rPr>
          <w:rFonts w:asciiTheme="minorHAnsi" w:eastAsiaTheme="minorEastAsia" w:hAnsiTheme="minorHAnsi" w:cstheme="minorBidi"/>
          <w:noProof/>
          <w:sz w:val="22"/>
          <w:szCs w:val="22"/>
        </w:rPr>
        <w:tab/>
      </w:r>
      <w:r>
        <w:rPr>
          <w:noProof/>
        </w:rPr>
        <w:t>Aislamiento térmico</w:t>
      </w:r>
      <w:r>
        <w:rPr>
          <w:noProof/>
        </w:rPr>
        <w:tab/>
      </w:r>
      <w:r w:rsidR="00927113">
        <w:rPr>
          <w:noProof/>
        </w:rPr>
        <w:fldChar w:fldCharType="begin"/>
      </w:r>
      <w:r>
        <w:rPr>
          <w:noProof/>
        </w:rPr>
        <w:instrText xml:space="preserve"> PAGEREF _Toc448741544 \h </w:instrText>
      </w:r>
      <w:r w:rsidR="00927113">
        <w:rPr>
          <w:noProof/>
        </w:rPr>
      </w:r>
      <w:r w:rsidR="00927113">
        <w:rPr>
          <w:noProof/>
        </w:rPr>
        <w:fldChar w:fldCharType="separate"/>
      </w:r>
      <w:r w:rsidR="006B1686">
        <w:rPr>
          <w:noProof/>
        </w:rPr>
        <w:t>308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8.1.6</w:t>
      </w:r>
      <w:r>
        <w:rPr>
          <w:rFonts w:asciiTheme="minorHAnsi" w:eastAsiaTheme="minorEastAsia" w:hAnsiTheme="minorHAnsi" w:cstheme="minorBidi"/>
          <w:noProof/>
          <w:sz w:val="22"/>
          <w:szCs w:val="22"/>
        </w:rPr>
        <w:tab/>
      </w:r>
      <w:r>
        <w:rPr>
          <w:noProof/>
        </w:rPr>
        <w:t>Instalaciones de manutención</w:t>
      </w:r>
      <w:r>
        <w:rPr>
          <w:noProof/>
        </w:rPr>
        <w:tab/>
      </w:r>
      <w:r w:rsidR="00927113">
        <w:rPr>
          <w:noProof/>
        </w:rPr>
        <w:fldChar w:fldCharType="begin"/>
      </w:r>
      <w:r>
        <w:rPr>
          <w:noProof/>
        </w:rPr>
        <w:instrText xml:space="preserve"> PAGEREF _Toc448741545 \h </w:instrText>
      </w:r>
      <w:r w:rsidR="00927113">
        <w:rPr>
          <w:noProof/>
        </w:rPr>
      </w:r>
      <w:r w:rsidR="00927113">
        <w:rPr>
          <w:noProof/>
        </w:rPr>
        <w:fldChar w:fldCharType="separate"/>
      </w:r>
      <w:r w:rsidR="006B1686">
        <w:rPr>
          <w:noProof/>
        </w:rPr>
        <w:t>308</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8.1.7</w:t>
      </w:r>
      <w:r>
        <w:rPr>
          <w:rFonts w:asciiTheme="minorHAnsi" w:eastAsiaTheme="minorEastAsia" w:hAnsiTheme="minorHAnsi" w:cstheme="minorBidi"/>
          <w:noProof/>
          <w:sz w:val="22"/>
          <w:szCs w:val="22"/>
        </w:rPr>
        <w:tab/>
      </w:r>
      <w:r>
        <w:rPr>
          <w:noProof/>
        </w:rPr>
        <w:t>Atmósferas explosivas</w:t>
      </w:r>
      <w:r>
        <w:rPr>
          <w:noProof/>
        </w:rPr>
        <w:tab/>
      </w:r>
      <w:r w:rsidR="00927113">
        <w:rPr>
          <w:noProof/>
        </w:rPr>
        <w:fldChar w:fldCharType="begin"/>
      </w:r>
      <w:r>
        <w:rPr>
          <w:noProof/>
        </w:rPr>
        <w:instrText xml:space="preserve"> PAGEREF _Toc448741546 \h </w:instrText>
      </w:r>
      <w:r w:rsidR="00927113">
        <w:rPr>
          <w:noProof/>
        </w:rPr>
      </w:r>
      <w:r w:rsidR="00927113">
        <w:rPr>
          <w:noProof/>
        </w:rPr>
        <w:fldChar w:fldCharType="separate"/>
      </w:r>
      <w:r w:rsidR="006B1686">
        <w:rPr>
          <w:noProof/>
        </w:rPr>
        <w:t>309</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8.1.8</w:t>
      </w:r>
      <w:r>
        <w:rPr>
          <w:rFonts w:asciiTheme="minorHAnsi" w:eastAsiaTheme="minorEastAsia" w:hAnsiTheme="minorHAnsi" w:cstheme="minorBidi"/>
          <w:noProof/>
          <w:sz w:val="22"/>
          <w:szCs w:val="22"/>
        </w:rPr>
        <w:tab/>
      </w:r>
      <w:r>
        <w:rPr>
          <w:noProof/>
        </w:rPr>
        <w:t>Equipos de seguridad</w:t>
      </w:r>
      <w:r>
        <w:rPr>
          <w:noProof/>
        </w:rPr>
        <w:tab/>
      </w:r>
      <w:r w:rsidR="00927113">
        <w:rPr>
          <w:noProof/>
        </w:rPr>
        <w:fldChar w:fldCharType="begin"/>
      </w:r>
      <w:r>
        <w:rPr>
          <w:noProof/>
        </w:rPr>
        <w:instrText xml:space="preserve"> PAGEREF _Toc448741547 \h </w:instrText>
      </w:r>
      <w:r w:rsidR="00927113">
        <w:rPr>
          <w:noProof/>
        </w:rPr>
      </w:r>
      <w:r w:rsidR="00927113">
        <w:rPr>
          <w:noProof/>
        </w:rPr>
        <w:fldChar w:fldCharType="separate"/>
      </w:r>
      <w:r w:rsidR="006B1686">
        <w:rPr>
          <w:noProof/>
        </w:rPr>
        <w:t>309</w:t>
      </w:r>
      <w:r w:rsidR="00927113">
        <w:rPr>
          <w:noProof/>
        </w:rPr>
        <w:fldChar w:fldCharType="end"/>
      </w:r>
    </w:p>
    <w:p w:rsidR="00360671" w:rsidRDefault="00360671">
      <w:pPr>
        <w:pStyle w:val="TDC3"/>
        <w:tabs>
          <w:tab w:val="left" w:pos="1801"/>
        </w:tabs>
        <w:rPr>
          <w:rFonts w:asciiTheme="minorHAnsi" w:eastAsiaTheme="minorEastAsia" w:hAnsiTheme="minorHAnsi" w:cstheme="minorBidi"/>
          <w:noProof/>
          <w:sz w:val="22"/>
          <w:szCs w:val="22"/>
        </w:rPr>
      </w:pPr>
      <w:r>
        <w:rPr>
          <w:noProof/>
        </w:rPr>
        <w:t>Artículo 8.1.9</w:t>
      </w:r>
      <w:r>
        <w:rPr>
          <w:rFonts w:asciiTheme="minorHAnsi" w:eastAsiaTheme="minorEastAsia" w:hAnsiTheme="minorHAnsi" w:cstheme="minorBidi"/>
          <w:noProof/>
          <w:sz w:val="22"/>
          <w:szCs w:val="22"/>
        </w:rPr>
        <w:tab/>
      </w:r>
      <w:r>
        <w:rPr>
          <w:noProof/>
        </w:rPr>
        <w:t>Colores de seguridad</w:t>
      </w:r>
      <w:r>
        <w:rPr>
          <w:noProof/>
        </w:rPr>
        <w:tab/>
      </w:r>
      <w:r w:rsidR="00927113">
        <w:rPr>
          <w:noProof/>
        </w:rPr>
        <w:fldChar w:fldCharType="begin"/>
      </w:r>
      <w:r>
        <w:rPr>
          <w:noProof/>
        </w:rPr>
        <w:instrText xml:space="preserve"> PAGEREF _Toc448741548 \h </w:instrText>
      </w:r>
      <w:r w:rsidR="00927113">
        <w:rPr>
          <w:noProof/>
        </w:rPr>
      </w:r>
      <w:r w:rsidR="00927113">
        <w:rPr>
          <w:noProof/>
        </w:rPr>
        <w:fldChar w:fldCharType="separate"/>
      </w:r>
      <w:r w:rsidR="006B1686">
        <w:rPr>
          <w:noProof/>
        </w:rPr>
        <w:t>310</w:t>
      </w:r>
      <w:r w:rsidR="00927113">
        <w:rPr>
          <w:noProof/>
        </w:rPr>
        <w:fldChar w:fldCharType="end"/>
      </w:r>
    </w:p>
    <w:p w:rsidR="00C7085E" w:rsidRDefault="00927113" w:rsidP="00B71B1A">
      <w:pPr>
        <w:tabs>
          <w:tab w:val="left" w:pos="5991"/>
        </w:tabs>
        <w:spacing w:before="120" w:after="240" w:line="276" w:lineRule="auto"/>
        <w:ind w:right="-285"/>
        <w:rPr>
          <w:color w:val="0084C9"/>
          <w:sz w:val="20"/>
          <w:szCs w:val="20"/>
        </w:rPr>
      </w:pPr>
      <w:r>
        <w:rPr>
          <w:rFonts w:ascii="Arial Negrita" w:hAnsi="Arial Negrita" w:cs="Arial Negrita"/>
          <w:b/>
          <w:noProof/>
          <w:sz w:val="24"/>
          <w:szCs w:val="22"/>
        </w:rPr>
        <w:fldChar w:fldCharType="end"/>
      </w:r>
    </w:p>
    <w:p w:rsidR="00C7085E" w:rsidRDefault="00C7085E" w:rsidP="00B71B1A">
      <w:pPr>
        <w:tabs>
          <w:tab w:val="left" w:pos="5991"/>
        </w:tabs>
        <w:spacing w:before="120" w:after="240" w:line="276" w:lineRule="auto"/>
        <w:ind w:right="-285"/>
        <w:rPr>
          <w:color w:val="0084C9"/>
          <w:sz w:val="20"/>
          <w:szCs w:val="20"/>
        </w:rPr>
      </w:pPr>
    </w:p>
    <w:p w:rsidR="00C7085E" w:rsidRDefault="00C7085E" w:rsidP="00B71B1A">
      <w:pPr>
        <w:spacing w:before="120" w:after="240" w:line="276" w:lineRule="auto"/>
        <w:ind w:right="-285"/>
        <w:jc w:val="left"/>
        <w:rPr>
          <w:color w:val="0084C9"/>
          <w:sz w:val="20"/>
          <w:szCs w:val="20"/>
        </w:rPr>
        <w:sectPr w:rsidR="00C7085E" w:rsidSect="00094D4E">
          <w:type w:val="oddPage"/>
          <w:pgSz w:w="11906" w:h="16838"/>
          <w:pgMar w:top="1417" w:right="1701" w:bottom="1417" w:left="1701" w:header="709" w:footer="499" w:gutter="0"/>
          <w:cols w:space="720"/>
          <w:docGrid w:linePitch="299"/>
        </w:sectPr>
      </w:pPr>
    </w:p>
    <w:p w:rsidR="00C7085E" w:rsidRPr="00EF3DE9" w:rsidRDefault="00C7085E" w:rsidP="00B71B1A">
      <w:pPr>
        <w:pStyle w:val="Ttulo1"/>
        <w:pageBreakBefore/>
        <w:suppressAutoHyphens/>
        <w:spacing w:before="0" w:after="240" w:line="276" w:lineRule="auto"/>
        <w:ind w:left="1985" w:right="-285" w:hanging="1985"/>
        <w:jc w:val="both"/>
        <w:rPr>
          <w:szCs w:val="20"/>
        </w:rPr>
      </w:pPr>
      <w:bookmarkStart w:id="0" w:name="_Toc414200387"/>
      <w:bookmarkStart w:id="1" w:name="_Toc414200165"/>
      <w:bookmarkStart w:id="2" w:name="_Toc448741358"/>
      <w:r w:rsidRPr="00EF3DE9">
        <w:rPr>
          <w:szCs w:val="20"/>
        </w:rPr>
        <w:lastRenderedPageBreak/>
        <w:t>PRESCRIPCIONES GENERALES</w:t>
      </w:r>
      <w:bookmarkEnd w:id="0"/>
      <w:bookmarkEnd w:id="1"/>
      <w:bookmarkEnd w:id="2"/>
    </w:p>
    <w:p w:rsidR="00C7085E" w:rsidRPr="00A54C19" w:rsidRDefault="00796B4E" w:rsidP="00B71B1A">
      <w:pPr>
        <w:pStyle w:val="Ttulo2"/>
        <w:numPr>
          <w:ilvl w:val="1"/>
          <w:numId w:val="5"/>
        </w:numPr>
        <w:snapToGrid/>
        <w:spacing w:before="400" w:after="400" w:line="276" w:lineRule="auto"/>
        <w:ind w:left="0" w:right="-285"/>
        <w:rPr>
          <w:caps w:val="0"/>
        </w:rPr>
      </w:pPr>
      <w:bookmarkStart w:id="3" w:name="_Toc414200388"/>
      <w:bookmarkStart w:id="4" w:name="_Toc414200166"/>
      <w:bookmarkStart w:id="5" w:name="_Toc448741359"/>
      <w:r w:rsidRPr="00796B4E">
        <w:rPr>
          <w:caps w:val="0"/>
        </w:rPr>
        <w:t>ÁMBITO DE APLICACIÓN</w:t>
      </w:r>
      <w:bookmarkEnd w:id="3"/>
      <w:bookmarkEnd w:id="4"/>
      <w:bookmarkEnd w:id="5"/>
    </w:p>
    <w:p w:rsidR="00930A1E" w:rsidRDefault="00930A1E" w:rsidP="00DF30E5">
      <w:pPr>
        <w:spacing w:line="276" w:lineRule="auto"/>
        <w:outlineLvl w:val="0"/>
        <w:rPr>
          <w:rFonts w:cs="Arial"/>
          <w:bCs/>
          <w:lang w:val="es-ES_tradnl"/>
        </w:rPr>
      </w:pPr>
      <w:bookmarkStart w:id="6" w:name="_Toc414200389"/>
      <w:bookmarkStart w:id="7" w:name="_Toc414200167"/>
      <w:bookmarkStart w:id="8" w:name="_Toc404238981"/>
      <w:r w:rsidRPr="00930A1E">
        <w:t xml:space="preserve">Este Pliego de Prescripciones Técnicas Particulares, tiene por objeto regular las obras </w:t>
      </w:r>
      <w:r w:rsidRPr="00FE3466">
        <w:t xml:space="preserve">correspondientes al </w:t>
      </w:r>
      <w:r w:rsidR="004A6A0E">
        <w:rPr>
          <w:rFonts w:cs="Arial"/>
          <w:bCs/>
          <w:lang w:val="es-ES_tradnl"/>
        </w:rPr>
        <w:t>PROYECTO CR-027</w:t>
      </w:r>
      <w:r w:rsidR="00FE3466" w:rsidRPr="00FE3466">
        <w:rPr>
          <w:rFonts w:cs="Arial"/>
          <w:bCs/>
          <w:lang w:val="es-ES_tradnl"/>
        </w:rPr>
        <w:t>-1</w:t>
      </w:r>
      <w:r w:rsidR="004A6A0E">
        <w:rPr>
          <w:rFonts w:cs="Arial"/>
          <w:bCs/>
          <w:lang w:val="es-ES_tradnl"/>
        </w:rPr>
        <w:t>6-CS</w:t>
      </w:r>
      <w:r w:rsidR="00E10D38">
        <w:rPr>
          <w:rFonts w:cs="Arial"/>
          <w:bCs/>
          <w:lang w:val="es-ES_tradnl"/>
        </w:rPr>
        <w:t xml:space="preserve"> DE RENOVA</w:t>
      </w:r>
      <w:r w:rsidR="002B340F">
        <w:rPr>
          <w:rFonts w:cs="Arial"/>
          <w:bCs/>
          <w:lang w:val="es-ES_tradnl"/>
        </w:rPr>
        <w:t xml:space="preserve">CIÓN DE RED EN LA CALLE </w:t>
      </w:r>
      <w:r w:rsidR="004A6A0E">
        <w:rPr>
          <w:rFonts w:cs="Arial"/>
          <w:bCs/>
          <w:lang w:val="es-ES_tradnl"/>
        </w:rPr>
        <w:t>GUADALAJARA</w:t>
      </w:r>
      <w:r w:rsidR="00E10D38">
        <w:rPr>
          <w:rFonts w:cs="Arial"/>
          <w:bCs/>
          <w:lang w:val="es-ES_tradnl"/>
        </w:rPr>
        <w:t xml:space="preserve"> Y OTRAS</w:t>
      </w:r>
      <w:r w:rsidR="00FE3466" w:rsidRPr="00FE3466">
        <w:rPr>
          <w:rFonts w:cs="Arial"/>
          <w:bCs/>
          <w:lang w:val="es-ES_tradnl"/>
        </w:rPr>
        <w:t xml:space="preserve"> EN EL </w:t>
      </w:r>
      <w:r w:rsidR="004A6A0E">
        <w:rPr>
          <w:rFonts w:cs="Arial"/>
          <w:bCs/>
          <w:lang w:val="es-ES_tradnl"/>
        </w:rPr>
        <w:t>T. M.</w:t>
      </w:r>
      <w:r w:rsidR="002B340F">
        <w:rPr>
          <w:rFonts w:cs="Arial"/>
          <w:bCs/>
          <w:lang w:val="es-ES_tradnl"/>
        </w:rPr>
        <w:t xml:space="preserve"> DE </w:t>
      </w:r>
      <w:r w:rsidR="004A6A0E">
        <w:rPr>
          <w:rFonts w:cs="Arial"/>
          <w:bCs/>
          <w:lang w:val="es-ES_tradnl"/>
        </w:rPr>
        <w:t>VILLAREJO DE SALVANÉS</w:t>
      </w:r>
      <w:r w:rsidR="00FE3466">
        <w:rPr>
          <w:rFonts w:cs="Arial"/>
          <w:bCs/>
          <w:lang w:val="es-ES_tradnl"/>
        </w:rPr>
        <w:t>.</w:t>
      </w:r>
    </w:p>
    <w:p w:rsidR="00C7085E" w:rsidRPr="00A54C19" w:rsidRDefault="00796B4E" w:rsidP="00B71B1A">
      <w:pPr>
        <w:pStyle w:val="Ttulo2"/>
        <w:numPr>
          <w:ilvl w:val="1"/>
          <w:numId w:val="5"/>
        </w:numPr>
        <w:snapToGrid/>
        <w:spacing w:before="400" w:after="400" w:line="276" w:lineRule="auto"/>
        <w:ind w:left="0" w:right="-285"/>
        <w:rPr>
          <w:caps w:val="0"/>
        </w:rPr>
      </w:pPr>
      <w:bookmarkStart w:id="9" w:name="_Toc448741360"/>
      <w:r w:rsidRPr="00796B4E">
        <w:rPr>
          <w:caps w:val="0"/>
        </w:rPr>
        <w:t>ASPECTOS GENERALES</w:t>
      </w:r>
      <w:bookmarkEnd w:id="9"/>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0" w:name="_Toc414021737"/>
      <w:bookmarkStart w:id="11" w:name="_Toc448741361"/>
      <w:bookmarkEnd w:id="6"/>
      <w:bookmarkEnd w:id="7"/>
      <w:bookmarkEnd w:id="8"/>
      <w:r>
        <w:t>Documentos que regirán en las obras afectadas</w:t>
      </w:r>
      <w:bookmarkEnd w:id="10"/>
      <w:bookmarkEnd w:id="11"/>
    </w:p>
    <w:p w:rsidR="00C7085E" w:rsidRDefault="00C7085E" w:rsidP="00B71B1A">
      <w:pPr>
        <w:spacing w:before="120" w:after="240" w:line="276" w:lineRule="auto"/>
        <w:ind w:right="-285"/>
      </w:pPr>
      <w:r>
        <w:t xml:space="preserve">La ejecución de </w:t>
      </w:r>
      <w:r w:rsidR="00B71B1A">
        <w:t>la</w:t>
      </w:r>
      <w:r>
        <w:t xml:space="preserve"> obra se regirá por los siguientes documentos: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El Pliego de Cláusulas Administrativas Particulares, en lo sucesivo</w:t>
      </w:r>
      <w:r w:rsidR="00B71B1A">
        <w:t xml:space="preserve"> “PCAP”, que rija la licitación</w:t>
      </w:r>
      <w:r>
        <w:t xml:space="preserve">. </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El Proyecto de construcción</w:t>
      </w:r>
      <w:r w:rsidR="00B71B1A">
        <w:t>.</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2" w:name="_Toc414021738"/>
      <w:bookmarkStart w:id="13" w:name="_Toc448741362"/>
      <w:r>
        <w:t>Definiciones</w:t>
      </w:r>
      <w:bookmarkEnd w:id="12"/>
      <w:bookmarkEnd w:id="13"/>
    </w:p>
    <w:p w:rsidR="00C7085E" w:rsidRDefault="00C7085E" w:rsidP="00B71B1A">
      <w:pPr>
        <w:spacing w:before="120" w:after="240" w:line="276" w:lineRule="auto"/>
        <w:ind w:right="-285"/>
      </w:pPr>
      <w:r>
        <w:t>Para facilitar la comprensión del presente Pliego de Prescripciones Técnicas Generales se acompañan definiciones auxiliares de algunos términos utilizados en el mismo.</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"Proyecto" es el documento técnico que describe, justifica y presupuesta una obra sirviendo de base para licitación.</w:t>
      </w:r>
      <w:r>
        <w:rPr>
          <w:color w:val="FF0000"/>
        </w:rPr>
        <w:t xml:space="preserve"> </w:t>
      </w:r>
      <w:r>
        <w:t>Estará constituido por los siguientes documentos:</w:t>
      </w:r>
    </w:p>
    <w:p w:rsidR="00C7085E" w:rsidRDefault="00C7085E" w:rsidP="00B71B1A">
      <w:pPr>
        <w:pStyle w:val="Prrafodelista"/>
        <w:numPr>
          <w:ilvl w:val="0"/>
          <w:numId w:val="9"/>
        </w:numPr>
        <w:spacing w:before="120" w:after="240"/>
        <w:ind w:left="1548" w:right="-285" w:hanging="357"/>
        <w:rPr>
          <w:rFonts w:ascii="Arial" w:hAnsi="Arial" w:cs="Arial"/>
        </w:rPr>
      </w:pPr>
      <w:r>
        <w:rPr>
          <w:rFonts w:ascii="Arial" w:hAnsi="Arial" w:cs="Arial"/>
        </w:rPr>
        <w:t>Documento Nº 1: Memoria</w:t>
      </w:r>
    </w:p>
    <w:p w:rsidR="00C7085E" w:rsidRDefault="00C7085E" w:rsidP="00B71B1A">
      <w:pPr>
        <w:pStyle w:val="Prrafodelista"/>
        <w:numPr>
          <w:ilvl w:val="0"/>
          <w:numId w:val="9"/>
        </w:numPr>
        <w:spacing w:before="120" w:after="240"/>
        <w:ind w:left="1548" w:right="-285" w:hanging="357"/>
        <w:rPr>
          <w:rFonts w:ascii="Arial" w:hAnsi="Arial" w:cs="Arial"/>
        </w:rPr>
      </w:pPr>
      <w:r>
        <w:rPr>
          <w:rFonts w:ascii="Arial" w:hAnsi="Arial" w:cs="Arial"/>
        </w:rPr>
        <w:t>Documento Nº 2: Planos</w:t>
      </w:r>
    </w:p>
    <w:p w:rsidR="00C7085E" w:rsidRDefault="00C7085E" w:rsidP="00B71B1A">
      <w:pPr>
        <w:pStyle w:val="Prrafodelista"/>
        <w:numPr>
          <w:ilvl w:val="0"/>
          <w:numId w:val="9"/>
        </w:numPr>
        <w:spacing w:before="120" w:after="240"/>
        <w:ind w:left="1548" w:right="-285" w:hanging="357"/>
        <w:rPr>
          <w:rFonts w:ascii="Arial" w:hAnsi="Arial" w:cs="Arial"/>
        </w:rPr>
      </w:pPr>
      <w:r>
        <w:rPr>
          <w:rFonts w:ascii="Arial" w:hAnsi="Arial" w:cs="Arial"/>
        </w:rPr>
        <w:t>Documento Nº 3: Pliego de Prescripciones Técnicas, que incluye a su vez el Pliego de Prescripciones Técnicas Generales, en lo sucesivo “PPTG” y el Pliego de Prescripciones Técnicas Particulares en lo sucesivo “PPTP”</w:t>
      </w:r>
    </w:p>
    <w:p w:rsidR="00C7085E" w:rsidRDefault="00C7085E" w:rsidP="00B71B1A">
      <w:pPr>
        <w:pStyle w:val="Prrafodelista"/>
        <w:numPr>
          <w:ilvl w:val="0"/>
          <w:numId w:val="9"/>
        </w:numPr>
        <w:spacing w:before="120" w:after="240"/>
        <w:ind w:left="1548" w:right="-285" w:hanging="357"/>
        <w:rPr>
          <w:rFonts w:ascii="Arial" w:hAnsi="Arial" w:cs="Arial"/>
        </w:rPr>
      </w:pPr>
      <w:r>
        <w:rPr>
          <w:rFonts w:ascii="Arial" w:hAnsi="Arial" w:cs="Arial"/>
        </w:rPr>
        <w:t>Documento Nº 4: Presupuesto</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“Pliego de Bases” es el documento técnico que describe, justifica y valora una obra, así como las condiciones del proyecto constructivo a redactar en las licitaciones de proyecto y obra. Estará constituido por los siguientes documentos</w:t>
      </w:r>
    </w:p>
    <w:p w:rsidR="00C7085E" w:rsidRDefault="00C7085E" w:rsidP="00B71B1A">
      <w:pPr>
        <w:pStyle w:val="Prrafodelista"/>
        <w:numPr>
          <w:ilvl w:val="0"/>
          <w:numId w:val="9"/>
        </w:numPr>
        <w:spacing w:before="120" w:after="240"/>
        <w:ind w:left="1548" w:right="-285" w:hanging="357"/>
        <w:rPr>
          <w:rFonts w:ascii="Arial" w:hAnsi="Arial" w:cs="Arial"/>
        </w:rPr>
      </w:pPr>
      <w:r>
        <w:rPr>
          <w:rFonts w:ascii="Arial" w:hAnsi="Arial" w:cs="Arial"/>
        </w:rPr>
        <w:t>Documento Nº 1: Pliego de Prescripciones Técnicas Generales, en lo sucesivo “PPTG”</w:t>
      </w:r>
    </w:p>
    <w:p w:rsidR="00C7085E" w:rsidRDefault="00C7085E" w:rsidP="00B71B1A">
      <w:pPr>
        <w:pStyle w:val="Prrafodelista"/>
        <w:numPr>
          <w:ilvl w:val="0"/>
          <w:numId w:val="9"/>
        </w:numPr>
        <w:spacing w:before="120" w:after="240"/>
        <w:ind w:left="1548" w:right="-285" w:hanging="357"/>
        <w:rPr>
          <w:rFonts w:ascii="Arial" w:hAnsi="Arial" w:cs="Arial"/>
        </w:rPr>
      </w:pPr>
      <w:r>
        <w:rPr>
          <w:rFonts w:ascii="Arial" w:hAnsi="Arial" w:cs="Arial"/>
        </w:rPr>
        <w:t>Documento Nº 2: Pliego de Prescripciones Técnicas Particulares. Integrado por la Memoria, Anejos y Planos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"Obras" o "Trabajos" son las tareas necesarias para realizar la construcción definida, incluyendo todos los suministros, servicios e instalaciones que se requieren para el fin previsto.</w:t>
      </w:r>
    </w:p>
    <w:p w:rsidR="00C7085E" w:rsidRDefault="00C7085E" w:rsidP="00B71B1A">
      <w:pPr>
        <w:widowControl/>
        <w:numPr>
          <w:ilvl w:val="0"/>
          <w:numId w:val="8"/>
        </w:numPr>
        <w:suppressAutoHyphens/>
        <w:autoSpaceDE/>
        <w:adjustRightInd/>
        <w:spacing w:before="120" w:after="240" w:line="276" w:lineRule="auto"/>
        <w:ind w:right="-285"/>
      </w:pPr>
      <w:r>
        <w:lastRenderedPageBreak/>
        <w:t>"Oferta" es el conjunto de documentos que el Licitador presenta a la Licitación, en tiempo y forma, y de acuerdo con lo establecido en el anuncio de la misma.</w:t>
      </w:r>
    </w:p>
    <w:p w:rsidR="00C7085E" w:rsidRDefault="00C7085E" w:rsidP="00B71B1A">
      <w:pPr>
        <w:widowControl/>
        <w:numPr>
          <w:ilvl w:val="0"/>
          <w:numId w:val="8"/>
        </w:numPr>
        <w:suppressAutoHyphens/>
        <w:autoSpaceDE/>
        <w:adjustRightInd/>
        <w:spacing w:before="120" w:after="240" w:line="276" w:lineRule="auto"/>
        <w:ind w:left="714" w:right="-285" w:hanging="357"/>
      </w:pPr>
      <w:r>
        <w:t>"Adjudicatario" es la persona o personas, naturales o jurídicas con quiénes Canal de Isabel II Gestión, S.A. formalice el Contrato para la ejecución de las obras.</w:t>
      </w:r>
    </w:p>
    <w:p w:rsidR="00C7085E" w:rsidRDefault="00C7085E" w:rsidP="00B71B1A">
      <w:pPr>
        <w:widowControl/>
        <w:numPr>
          <w:ilvl w:val="0"/>
          <w:numId w:val="8"/>
        </w:numPr>
        <w:suppressAutoHyphens/>
        <w:autoSpaceDE/>
        <w:adjustRightInd/>
        <w:spacing w:before="120" w:after="240" w:line="276" w:lineRule="auto"/>
        <w:ind w:left="714" w:right="-285" w:hanging="357"/>
      </w:pPr>
      <w:r>
        <w:t>"Dirección de Obra" son los facultativos nombrados por Canal de Isabel II Gestión, S.A. como responsables de la comprobación y vigilancia de la correcta realización de las obras o trabajos contratados.</w:t>
      </w:r>
    </w:p>
    <w:p w:rsidR="00C7085E" w:rsidRDefault="00C7085E" w:rsidP="00B71B1A">
      <w:pPr>
        <w:widowControl/>
        <w:numPr>
          <w:ilvl w:val="0"/>
          <w:numId w:val="8"/>
        </w:numPr>
        <w:suppressAutoHyphens/>
        <w:autoSpaceDE/>
        <w:adjustRightInd/>
        <w:spacing w:before="120" w:after="240" w:line="276" w:lineRule="auto"/>
        <w:ind w:left="714" w:right="-285" w:hanging="357"/>
      </w:pPr>
      <w:r>
        <w:t>"Documentos de Detalle" son el conjunto de:</w:t>
      </w:r>
    </w:p>
    <w:p w:rsidR="00C7085E" w:rsidRDefault="00C7085E" w:rsidP="00B71B1A">
      <w:pPr>
        <w:spacing w:before="120" w:after="240" w:line="276" w:lineRule="auto"/>
        <w:ind w:left="1224" w:right="-285" w:hanging="510"/>
      </w:pPr>
      <w:r>
        <w:tab/>
        <w:t>1)</w:t>
      </w:r>
      <w:r>
        <w:tab/>
        <w:t>Planos de detalle.</w:t>
      </w:r>
    </w:p>
    <w:p w:rsidR="00C7085E" w:rsidRDefault="00C7085E" w:rsidP="00B71B1A">
      <w:pPr>
        <w:spacing w:before="120" w:after="240" w:line="276" w:lineRule="auto"/>
        <w:ind w:left="1224" w:right="-285" w:hanging="510"/>
      </w:pPr>
      <w:r>
        <w:tab/>
        <w:t>2)</w:t>
      </w:r>
      <w:r>
        <w:tab/>
        <w:t>Copias de pedidos.</w:t>
      </w:r>
    </w:p>
    <w:p w:rsidR="00C7085E" w:rsidRDefault="00C7085E" w:rsidP="00B71B1A">
      <w:pPr>
        <w:spacing w:before="120" w:after="240" w:line="276" w:lineRule="auto"/>
        <w:ind w:left="1224" w:right="-285" w:hanging="510"/>
      </w:pPr>
      <w:r>
        <w:tab/>
        <w:t>3)</w:t>
      </w:r>
      <w:r>
        <w:tab/>
        <w:t>Informes de progreso.</w:t>
      </w:r>
    </w:p>
    <w:p w:rsidR="00C7085E" w:rsidRDefault="00C7085E" w:rsidP="00B71B1A">
      <w:pPr>
        <w:spacing w:before="120" w:after="240" w:line="276" w:lineRule="auto"/>
        <w:ind w:left="1224" w:right="-285" w:hanging="510"/>
      </w:pPr>
      <w:r>
        <w:tab/>
        <w:t>4)</w:t>
      </w:r>
      <w:r>
        <w:tab/>
        <w:t>Certificados de prueba.</w:t>
      </w:r>
    </w:p>
    <w:p w:rsidR="00C7085E" w:rsidRDefault="00C7085E" w:rsidP="00B71B1A">
      <w:pPr>
        <w:spacing w:before="120" w:after="240" w:line="276" w:lineRule="auto"/>
        <w:ind w:left="1224" w:right="-285"/>
      </w:pPr>
      <w:r>
        <w:t>5)</w:t>
      </w:r>
      <w:r>
        <w:tab/>
        <w:t>Hojas de envío de materiales y elementos que aclaran, complementan y definen totalmente el Proyecto durante el periodo de ejecución de las Obras y Trabajos.</w:t>
      </w:r>
    </w:p>
    <w:p w:rsidR="00C7085E" w:rsidRDefault="00C7085E" w:rsidP="00B71B1A">
      <w:pPr>
        <w:spacing w:before="120" w:after="240" w:line="276" w:lineRule="auto"/>
        <w:ind w:left="1224" w:right="-285"/>
      </w:pPr>
      <w:r>
        <w:t>6)</w:t>
      </w:r>
      <w:r>
        <w:tab/>
        <w:t>Especificaciones Técnicas de los equipos mecánicos, eléctricos y de instrumentación y control.</w:t>
      </w:r>
    </w:p>
    <w:p w:rsidR="00C7085E" w:rsidRDefault="00C7085E" w:rsidP="00B71B1A">
      <w:pPr>
        <w:widowControl/>
        <w:numPr>
          <w:ilvl w:val="0"/>
          <w:numId w:val="8"/>
        </w:numPr>
        <w:suppressAutoHyphens/>
        <w:autoSpaceDE/>
        <w:adjustRightInd/>
        <w:spacing w:before="120" w:after="240" w:line="276" w:lineRule="auto"/>
        <w:ind w:left="714" w:right="-285" w:hanging="357"/>
      </w:pPr>
      <w:r>
        <w:t>"Planos de Detalle" son los que definen en toda su extensión las características físicas y geométricas de cada uno de los elementos y sistemas contenidos en el Proyecto de Construcción.</w:t>
      </w:r>
    </w:p>
    <w:p w:rsidR="00C7085E" w:rsidRDefault="00C7085E" w:rsidP="00B71B1A">
      <w:pPr>
        <w:widowControl/>
        <w:numPr>
          <w:ilvl w:val="0"/>
          <w:numId w:val="8"/>
        </w:numPr>
        <w:suppressAutoHyphens/>
        <w:autoSpaceDE/>
        <w:adjustRightInd/>
        <w:spacing w:before="120" w:after="240" w:line="276" w:lineRule="auto"/>
        <w:ind w:left="714" w:right="-285" w:hanging="357"/>
      </w:pPr>
      <w:r>
        <w:t>"Copias de Pedidos" son las correspondientes a los pedidos oficiales del Adjudicatario a sus suministradores, en los cuales deben figurar todas las condiciones técnicas del suministro.</w:t>
      </w:r>
    </w:p>
    <w:p w:rsidR="00C7085E" w:rsidRDefault="00C7085E" w:rsidP="00B71B1A">
      <w:pPr>
        <w:widowControl/>
        <w:numPr>
          <w:ilvl w:val="0"/>
          <w:numId w:val="8"/>
        </w:numPr>
        <w:suppressAutoHyphens/>
        <w:autoSpaceDE/>
        <w:adjustRightInd/>
        <w:spacing w:before="120" w:after="240" w:line="276" w:lineRule="auto"/>
        <w:ind w:left="714" w:right="-285" w:hanging="357"/>
      </w:pPr>
      <w:r>
        <w:t>"Informes de Progreso" son los que reflejan el avance de las fabricaciones y montajes que se realizan en taller y en obra.</w:t>
      </w:r>
    </w:p>
    <w:p w:rsidR="00C7085E" w:rsidRDefault="00C7085E" w:rsidP="00B71B1A">
      <w:pPr>
        <w:widowControl/>
        <w:numPr>
          <w:ilvl w:val="0"/>
          <w:numId w:val="8"/>
        </w:numPr>
        <w:suppressAutoHyphens/>
        <w:autoSpaceDE/>
        <w:adjustRightInd/>
        <w:spacing w:before="120" w:after="240" w:line="276" w:lineRule="auto"/>
        <w:ind w:left="714" w:right="-285" w:hanging="357"/>
      </w:pPr>
      <w:r>
        <w:t>"Certificados de Pruebas" son los documentos que recogen los resultados de las pruebas efectuadas en taller o en obra como antecedente para la recepción de las obras.</w:t>
      </w:r>
    </w:p>
    <w:p w:rsidR="00C7085E" w:rsidRDefault="00C7085E" w:rsidP="00B71B1A">
      <w:pPr>
        <w:widowControl/>
        <w:numPr>
          <w:ilvl w:val="0"/>
          <w:numId w:val="8"/>
        </w:numPr>
        <w:suppressAutoHyphens/>
        <w:autoSpaceDE/>
        <w:adjustRightInd/>
        <w:spacing w:before="120" w:after="240" w:line="276" w:lineRule="auto"/>
        <w:ind w:left="714" w:right="-285" w:hanging="357"/>
      </w:pPr>
      <w:r>
        <w:t>"Hojas de envío de materiales y elementos" son las emitidas por un suministrador como anuncio de la salida de tales materiales o elementos, desde el lugar de donde procede el suministro en dirección al lugar de las obras.</w:t>
      </w:r>
    </w:p>
    <w:p w:rsidR="00C7085E" w:rsidRDefault="00C7085E" w:rsidP="00B71B1A">
      <w:pPr>
        <w:widowControl/>
        <w:numPr>
          <w:ilvl w:val="0"/>
          <w:numId w:val="8"/>
        </w:numPr>
        <w:suppressAutoHyphens/>
        <w:autoSpaceDE/>
        <w:adjustRightInd/>
        <w:spacing w:before="120" w:after="240" w:line="276" w:lineRule="auto"/>
        <w:ind w:left="714" w:right="-285" w:hanging="357"/>
      </w:pPr>
      <w:r>
        <w:lastRenderedPageBreak/>
        <w:t>“Especificaciones Técnicas de los equipos” son las especificaciones emitidas por el Contratista para aprobación de la Dirección de Obra con el objeto de definir el pedido de un equipo concreto.</w:t>
      </w:r>
    </w:p>
    <w:p w:rsidR="00C7085E" w:rsidRDefault="00C7085E" w:rsidP="00B71B1A">
      <w:pPr>
        <w:widowControl/>
        <w:numPr>
          <w:ilvl w:val="0"/>
          <w:numId w:val="8"/>
        </w:numPr>
        <w:suppressAutoHyphens/>
        <w:autoSpaceDE/>
        <w:adjustRightInd/>
        <w:spacing w:before="120" w:after="240" w:line="276" w:lineRule="auto"/>
        <w:ind w:left="714" w:right="-285" w:hanging="357"/>
      </w:pPr>
      <w:r>
        <w:t>"Periodo de Construcción" es el que comienza el día siguiente a la fecha de la firma del Acta de Comprobación del Replanteo o Acta de Orden de Inicio y termina cuando todos los elementos que forman parte de las obras han sido instalados y están en condiciones de iniciar su funcionamiento.</w:t>
      </w:r>
    </w:p>
    <w:p w:rsidR="00C7085E" w:rsidRDefault="00C7085E" w:rsidP="00B71B1A">
      <w:pPr>
        <w:widowControl/>
        <w:numPr>
          <w:ilvl w:val="0"/>
          <w:numId w:val="8"/>
        </w:numPr>
        <w:suppressAutoHyphens/>
        <w:autoSpaceDE/>
        <w:adjustRightInd/>
        <w:spacing w:before="120" w:after="240" w:line="276" w:lineRule="auto"/>
        <w:ind w:left="714" w:right="-285" w:hanging="357"/>
      </w:pPr>
      <w:r>
        <w:t>"Periodo de Prueba General de Funcionamiento" es el exigido por el PPTP como tiempo mínimo de funcionamiento ininterrumpido y satisfactorio de todos los sistemas instalados antes de que proceda la Recepción de las Obras.</w:t>
      </w:r>
    </w:p>
    <w:p w:rsidR="00C7085E" w:rsidRDefault="00C7085E" w:rsidP="00B71B1A">
      <w:pPr>
        <w:widowControl/>
        <w:numPr>
          <w:ilvl w:val="0"/>
          <w:numId w:val="8"/>
        </w:numPr>
        <w:suppressAutoHyphens/>
        <w:autoSpaceDE/>
        <w:adjustRightInd/>
        <w:spacing w:before="120" w:after="240" w:line="276" w:lineRule="auto"/>
        <w:ind w:left="714" w:right="-285" w:hanging="357"/>
      </w:pPr>
      <w:r>
        <w:t>"Pruebas de Reconocimiento" son las que hayan de realizarse en taller o en obra sobre elementos o sistemas parciales antes de la Prueba General de Funcionamiento.</w:t>
      </w:r>
    </w:p>
    <w:p w:rsidR="00C7085E" w:rsidRDefault="00C7085E" w:rsidP="00B71B1A">
      <w:pPr>
        <w:widowControl/>
        <w:numPr>
          <w:ilvl w:val="0"/>
          <w:numId w:val="8"/>
        </w:numPr>
        <w:suppressAutoHyphens/>
        <w:autoSpaceDE/>
        <w:adjustRightInd/>
        <w:spacing w:before="120" w:after="240" w:line="276" w:lineRule="auto"/>
        <w:ind w:right="-285"/>
      </w:pPr>
      <w:r>
        <w:t>"Pruebas de Rendimiento" son las que se realicen durante el Periodo de Garantía para comprobar que las prestaciones de las instalaciones cumplen lo exigido por la Licitación y lo ofertado por el Adjudicatario.</w:t>
      </w:r>
    </w:p>
    <w:p w:rsidR="00C7085E" w:rsidRDefault="00C7085E" w:rsidP="00B71B1A">
      <w:pPr>
        <w:widowControl/>
        <w:numPr>
          <w:ilvl w:val="0"/>
          <w:numId w:val="8"/>
        </w:numPr>
        <w:suppressAutoHyphens/>
        <w:autoSpaceDE/>
        <w:adjustRightInd/>
        <w:spacing w:before="120" w:after="240" w:line="276" w:lineRule="auto"/>
        <w:ind w:left="714" w:right="-285" w:hanging="357"/>
      </w:pPr>
      <w:r>
        <w:t>“Proyecto As Built” es el documento que con la definición de un proyecto constructivo, recoge la totalidad de la obra realmente ejecutada y que debe presentar el Contratista al final de la obra. Incluirá memoria, anejos de cálculos, planos y presupuesto.</w:t>
      </w:r>
    </w:p>
    <w:p w:rsidR="00C7085E" w:rsidRDefault="00C7085E" w:rsidP="00B71B1A">
      <w:pPr>
        <w:widowControl/>
        <w:numPr>
          <w:ilvl w:val="0"/>
          <w:numId w:val="8"/>
        </w:numPr>
        <w:suppressAutoHyphens/>
        <w:autoSpaceDE/>
        <w:adjustRightInd/>
        <w:spacing w:before="120" w:after="240" w:line="276" w:lineRule="auto"/>
        <w:ind w:right="-285"/>
      </w:pPr>
      <w:r>
        <w:t>“Documento de liquidación” es el documento que contiene los planos y presupuesto que permite la medición completa de la obra ejecutada</w:t>
      </w:r>
    </w:p>
    <w:p w:rsidR="00C7085E" w:rsidRDefault="00C7085E" w:rsidP="00B71B1A">
      <w:pPr>
        <w:widowControl/>
        <w:numPr>
          <w:ilvl w:val="0"/>
          <w:numId w:val="8"/>
        </w:numPr>
        <w:suppressAutoHyphens/>
        <w:autoSpaceDE/>
        <w:adjustRightInd/>
        <w:spacing w:before="120" w:after="240" w:line="276" w:lineRule="auto"/>
        <w:ind w:right="-285"/>
      </w:pPr>
      <w:r>
        <w:t>Manual de Operación y Mantenimiento: es el documento que el Adjudicatario deberá entregar a Canal de Isabel II Gestión antes de la finalización del contrato, en el que se recoge la siguiente información: descripción general de la infraestructura, descripción y aspectos críticos de los procesos, planos de implantación y de detalles, listado de todos los equipos instalados junto a su descripción funcional, catálogos de los fabricantes con las características técnicas, instrucciones de instalación, montaje, operación y mantenimiento, informes de ensayos, listado de repuestos, informes de ensayos de rutina, tipo y especiales, certificados de garantía, y todos aquellos aspectos y particularidades que sean necesarios para realizar de forma adecuada la explotación de las instalaciones.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4" w:name="_Toc414200391"/>
      <w:bookmarkStart w:id="15" w:name="_Toc414200169"/>
      <w:bookmarkStart w:id="16" w:name="_Toc404238983"/>
      <w:bookmarkStart w:id="17" w:name="_Toc448741363"/>
      <w:r>
        <w:t>Afecciones</w:t>
      </w:r>
      <w:bookmarkEnd w:id="14"/>
      <w:bookmarkEnd w:id="15"/>
      <w:bookmarkEnd w:id="16"/>
      <w:bookmarkEnd w:id="17"/>
    </w:p>
    <w:p w:rsidR="00C7085E" w:rsidRDefault="00C7085E" w:rsidP="00B71B1A">
      <w:pPr>
        <w:spacing w:before="120" w:after="240" w:line="276" w:lineRule="auto"/>
        <w:ind w:right="-285"/>
      </w:pPr>
      <w:r>
        <w:t xml:space="preserve">Se tendrán en consideración todas las limitaciones por afecciones al Dominio Público Hidráulico, carreteras, infraestructuras ferroviarias, vías pecuarias, patrimonio histórico, medioambientales o a cualquier otro servicio o infraestructura de energía eléctrica, telecomunicaciones, gaseoductos, oleoductos, etc. Se deberán aplicar las medidas derivadas de las tramitaciones o consultas emitidas por los órganos competentes o gestores </w:t>
      </w:r>
      <w:r>
        <w:lastRenderedPageBreak/>
        <w:t>en las materias anteriores y que se vean afectadas por la ejecución de las obras.</w:t>
      </w:r>
    </w:p>
    <w:p w:rsidR="00C7085E" w:rsidRDefault="00C7085E" w:rsidP="00B71B1A">
      <w:pPr>
        <w:spacing w:before="120" w:after="240" w:line="276" w:lineRule="auto"/>
        <w:ind w:right="-285"/>
      </w:pPr>
      <w:r>
        <w:t xml:space="preserve">El Contratista de las obras será el responsable de la aplicación de estas medidas, no </w:t>
      </w:r>
      <w:bookmarkStart w:id="18" w:name="_Toc414200392"/>
      <w:bookmarkStart w:id="19" w:name="_Toc414200170"/>
      <w:bookmarkStart w:id="20" w:name="_Toc404238984"/>
      <w:r>
        <w:t>teniendo, en ningún caso, derecho a realizar reclamación alguna sobre las mismas a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21" w:name="_Toc448741364"/>
      <w:r>
        <w:t>Materiales en contacto con agua de consumo humano</w:t>
      </w:r>
      <w:bookmarkEnd w:id="18"/>
      <w:bookmarkEnd w:id="19"/>
      <w:bookmarkEnd w:id="20"/>
      <w:bookmarkEnd w:id="21"/>
    </w:p>
    <w:p w:rsidR="00C7085E" w:rsidRDefault="00C7085E" w:rsidP="00B71B1A">
      <w:pPr>
        <w:spacing w:before="120" w:after="240" w:line="276" w:lineRule="auto"/>
        <w:ind w:right="-285"/>
      </w:pPr>
      <w:bookmarkStart w:id="22" w:name="_Toc414200393"/>
      <w:bookmarkStart w:id="23" w:name="_Toc414200171"/>
      <w:bookmarkStart w:id="24" w:name="_Toc404238985"/>
      <w:r>
        <w:t>Conforme a lo establecido en el RD 140/2003 por el que se establecen los criterios sanitarios de la calidad del agua de consumo humano, ninguno de los componentes en contacto con el agua para consumo humano debe producir alteración alguna en las características físicas, químicas, bacteriológicas y organolépticas del agua, teniendo en cuenta el tiempo y los tratamientos físico-químicos a que ésta haya podido ser sometida.</w:t>
      </w:r>
    </w:p>
    <w:p w:rsidR="00C7085E" w:rsidRDefault="00C7085E" w:rsidP="00B71B1A">
      <w:pPr>
        <w:spacing w:before="120" w:after="240" w:line="276" w:lineRule="auto"/>
        <w:ind w:right="-285"/>
      </w:pPr>
      <w:r>
        <w:t>Si el contacto del agua con los componentes se produce a través de una protección, esta deberá cumplir con los requerimientos exigidos.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25" w:name="_Toc448741365"/>
      <w:r>
        <w:t>Productos de construcción</w:t>
      </w:r>
      <w:bookmarkEnd w:id="22"/>
      <w:bookmarkEnd w:id="23"/>
      <w:bookmarkEnd w:id="24"/>
      <w:bookmarkEnd w:id="25"/>
    </w:p>
    <w:p w:rsidR="00C7085E" w:rsidRDefault="00C7085E" w:rsidP="00B71B1A">
      <w:pPr>
        <w:spacing w:before="120" w:after="240" w:line="276" w:lineRule="auto"/>
        <w:ind w:right="-285"/>
      </w:pPr>
      <w:r>
        <w:t xml:space="preserve">Será de aplicación lo dispuesto en el Reglamento 305/2011 de la Unión Europea por el que se establecen las condiciones armonizadas para la comercialización de productos de construcción, para aquellos materiales o componentes que formen parte de la red. </w:t>
      </w:r>
    </w:p>
    <w:p w:rsidR="00C7085E" w:rsidRDefault="00C7085E" w:rsidP="00B71B1A">
      <w:pPr>
        <w:spacing w:before="120" w:after="240" w:line="276" w:lineRule="auto"/>
        <w:ind w:right="-285"/>
      </w:pPr>
      <w:bookmarkStart w:id="26" w:name="_Toc414200394"/>
      <w:bookmarkStart w:id="27" w:name="_Toc414200172"/>
      <w:bookmarkStart w:id="28" w:name="_Toc404238986"/>
      <w:r>
        <w:t>El Reglamento fija condiciones para la introducción en el mercado o comercialización de los productos de construcción, estableciendo reglas armonizadas sobre cómo expresar las prestaciones de los productos de construcción en relación con sus características esenciales y sobre el uso del marcado CE en dichos productos.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29" w:name="_Toc448741366"/>
      <w:r>
        <w:t>Seguridad y Salud en las obras</w:t>
      </w:r>
      <w:bookmarkEnd w:id="26"/>
      <w:bookmarkEnd w:id="27"/>
      <w:bookmarkEnd w:id="28"/>
      <w:bookmarkEnd w:id="29"/>
    </w:p>
    <w:p w:rsidR="00C7085E" w:rsidRDefault="00C7085E" w:rsidP="00B71B1A">
      <w:pPr>
        <w:spacing w:before="120" w:after="240" w:line="276" w:lineRule="auto"/>
        <w:ind w:right="-285"/>
      </w:pPr>
      <w:r>
        <w:t>El Adjudicatario queda obligado al cumplimiento de la legislación vigente en materia de Seguridad y Salud en el trabajo en lo que le sea de aplicación. En particular la Ley 31/1995 de 8 de noviembre, de Prevención de Riesgos Laborales, el Real Decreto 1627/1997, de 24 de octubre, por el que se establecen las disposiciones mínimas de seguridad y salud en las obras de construcción, y el Real Decreto 337/2010, de 19 de marzo, por el que se modifican el Real Decreto 39/1997, de 17 de enero, por el que se aprueba el Reglamento de los Servicios de Prevención; el Real Decreto 1109/2007, de 24 de agosto, por el que se desarrolla la Ley 32/2006, de 18 de octubre, reguladora de la subcontratación en el sector de la construcción y el Real Decreto 1627/1997, de 24 de octubre, por el que se establecen disposiciones mínimas de seguridad y salud en obras de construcción.</w:t>
      </w:r>
    </w:p>
    <w:p w:rsidR="00C7085E" w:rsidRDefault="00C7085E" w:rsidP="00B71B1A">
      <w:pPr>
        <w:spacing w:before="120" w:after="240" w:line="276" w:lineRule="auto"/>
        <w:ind w:right="-285"/>
      </w:pPr>
      <w:r>
        <w:t>La Dirección de Obra podrá ordenar la paralización de las obras por incumplimiento de dicha normativa, imputando al Adjudicatario los retrasos que por ello se ocasionen, con las penalizaciones correspondientes.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30" w:name="_Toc414200395"/>
      <w:bookmarkStart w:id="31" w:name="_Toc414200173"/>
      <w:bookmarkStart w:id="32" w:name="_Toc404238987"/>
      <w:bookmarkStart w:id="33" w:name="_Toc394061658"/>
      <w:bookmarkStart w:id="34" w:name="_Toc448741367"/>
      <w:bookmarkStart w:id="35" w:name="_Toc346033751"/>
      <w:bookmarkStart w:id="36" w:name="_Toc137446187"/>
      <w:bookmarkStart w:id="37" w:name="_Toc32388797"/>
      <w:r>
        <w:t>Medidas de prevención y seguridad en las instalaciones</w:t>
      </w:r>
      <w:bookmarkEnd w:id="30"/>
      <w:bookmarkEnd w:id="31"/>
      <w:bookmarkEnd w:id="32"/>
      <w:bookmarkEnd w:id="33"/>
      <w:bookmarkEnd w:id="34"/>
    </w:p>
    <w:bookmarkEnd w:id="35"/>
    <w:bookmarkEnd w:id="36"/>
    <w:bookmarkEnd w:id="37"/>
    <w:p w:rsidR="00C7085E" w:rsidRDefault="00C7085E" w:rsidP="00B71B1A">
      <w:pPr>
        <w:spacing w:before="120" w:after="240" w:line="276" w:lineRule="auto"/>
        <w:ind w:right="-285"/>
      </w:pPr>
      <w:r>
        <w:t xml:space="preserve">Todas las instalaciones deberán cumplir con todos los requisitos de seguridad y salud </w:t>
      </w:r>
      <w:r>
        <w:lastRenderedPageBreak/>
        <w:t>establecidos en la normativa vigente en materia de prevención de riesgos laborales, así como en materia de seguridad industrial, que sean de aplicación durante su posterior explotación.</w:t>
      </w:r>
    </w:p>
    <w:p w:rsidR="00C7085E" w:rsidRDefault="00C7085E" w:rsidP="00B71B1A">
      <w:pPr>
        <w:spacing w:before="120" w:after="240" w:line="276" w:lineRule="auto"/>
        <w:ind w:right="-285"/>
      </w:pPr>
      <w:r>
        <w:t>Las obras ejecutadas deberán contar con las medidas preventivas y de seguridad necesarias que permitan evitar riesgos en la explotación de las instalaciones, siendo el Contratista el responsable de su implantación.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38" w:name="_Toc414021744"/>
      <w:bookmarkStart w:id="39" w:name="_Toc448741368"/>
      <w:bookmarkStart w:id="40" w:name="_Toc346033752"/>
      <w:bookmarkStart w:id="41" w:name="_Toc137446188"/>
      <w:bookmarkStart w:id="42" w:name="_Toc32388798"/>
      <w:r>
        <w:t>Gestión de residuos</w:t>
      </w:r>
      <w:bookmarkEnd w:id="38"/>
      <w:r>
        <w:t xml:space="preserve"> durante las obras</w:t>
      </w:r>
      <w:bookmarkEnd w:id="39"/>
    </w:p>
    <w:p w:rsidR="00C7085E" w:rsidRDefault="00C7085E" w:rsidP="00B71B1A">
      <w:pPr>
        <w:spacing w:before="120" w:after="240" w:line="276" w:lineRule="auto"/>
        <w:ind w:right="-285"/>
      </w:pPr>
      <w:r>
        <w:t xml:space="preserve">Según el Real Decreto 105/2008, de 1 de febrero, por el que se regula la producción y gestión de los residuos de construcción y demolición (RCD) con arreglo a la orden MAM/304/2002 de 8 de Febrero y sus modificaciones posteriores, el productor de los residuos debe incluir un estudio de gestión de residuos de construcción y demolición con los contenidos mínimos que indica el citado Real Decreto. </w:t>
      </w:r>
    </w:p>
    <w:p w:rsidR="00C7085E" w:rsidRDefault="00C7085E" w:rsidP="00B71B1A">
      <w:pPr>
        <w:spacing w:before="120" w:after="240" w:line="276" w:lineRule="auto"/>
        <w:ind w:right="-285"/>
      </w:pPr>
      <w:r>
        <w:t>El Adjudicatario llevará a cargo la gestión de los residuos generados durante la construcción de las obras de acuerdo al Anejo correspondiente del Proyecto, el cual se redactará teniendo en cuenta las especificaciones establecidas en el Real Decreto mencionado, así como en la Ley 5/2003, de 20 de marzo, de Residuos de la Comunidad de Madrid. Además será el responsable de tramitar toda la documentación necesaria para llevar a cabo la correcta gestión de los residuos generados durante la construcción de las obras.</w:t>
      </w:r>
    </w:p>
    <w:p w:rsidR="00C7085E" w:rsidRPr="00A54C19" w:rsidRDefault="00796B4E" w:rsidP="00B71B1A">
      <w:pPr>
        <w:pStyle w:val="Ttulo2"/>
        <w:numPr>
          <w:ilvl w:val="1"/>
          <w:numId w:val="5"/>
        </w:numPr>
        <w:snapToGrid/>
        <w:spacing w:before="400" w:after="400" w:line="276" w:lineRule="auto"/>
        <w:ind w:left="0" w:right="-285"/>
        <w:rPr>
          <w:caps w:val="0"/>
        </w:rPr>
      </w:pPr>
      <w:bookmarkStart w:id="43" w:name="_Toc414200397"/>
      <w:bookmarkStart w:id="44" w:name="_Toc414200175"/>
      <w:bookmarkStart w:id="45" w:name="_Toc404238989"/>
      <w:bookmarkStart w:id="46" w:name="_Ref400366180"/>
      <w:bookmarkStart w:id="47" w:name="_Toc448741369"/>
      <w:bookmarkEnd w:id="40"/>
      <w:bookmarkEnd w:id="41"/>
      <w:bookmarkEnd w:id="42"/>
      <w:r w:rsidRPr="00796B4E">
        <w:rPr>
          <w:caps w:val="0"/>
        </w:rPr>
        <w:t>CONDICIONES ADMINISTRATIVAS QUE REGIRÁN EN LA EJECUCIÓN DE LAS OBRAS</w:t>
      </w:r>
      <w:bookmarkEnd w:id="43"/>
      <w:bookmarkEnd w:id="44"/>
      <w:bookmarkEnd w:id="45"/>
      <w:bookmarkEnd w:id="46"/>
      <w:bookmarkEnd w:id="47"/>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48" w:name="_Toc414200398"/>
      <w:bookmarkStart w:id="49" w:name="_Toc414200176"/>
      <w:bookmarkStart w:id="50" w:name="_Toc404238990"/>
      <w:bookmarkStart w:id="51" w:name="_Toc448741370"/>
      <w:r>
        <w:t>Forma de ejecutar las obras</w:t>
      </w:r>
      <w:bookmarkEnd w:id="48"/>
      <w:bookmarkEnd w:id="49"/>
      <w:bookmarkEnd w:id="50"/>
      <w:bookmarkEnd w:id="51"/>
    </w:p>
    <w:p w:rsidR="00C7085E" w:rsidRDefault="00C7085E" w:rsidP="00B71B1A">
      <w:pPr>
        <w:spacing w:before="120" w:after="240" w:line="276" w:lineRule="auto"/>
        <w:ind w:right="-285"/>
        <w:rPr>
          <w:highlight w:val="yellow"/>
        </w:rPr>
      </w:pPr>
      <w:r>
        <w:t>Las obras se construirán con estricta sujeción al Proyecto de Construcción aprobado y en todo aquello que no especifique el citado Proyecto, se estará a la interpretación de la Dirección de Obra. En los casos de licitaciones de Proyecto y Obra, en los que el Proyecto de Construcción es responsabilidad del Adjudicatario, éste no podrá reclamar contra esta interpretación ni solicitar indemnización económica alguna, cuando esa interpretación haya sido necesaria por la indefinición de dicho Proyecto.</w:t>
      </w:r>
    </w:p>
    <w:p w:rsidR="00C7085E" w:rsidRDefault="00C7085E" w:rsidP="00B71B1A">
      <w:pPr>
        <w:spacing w:before="120" w:after="240" w:line="276" w:lineRule="auto"/>
        <w:ind w:right="-285"/>
      </w:pPr>
      <w:r>
        <w:t>Ninguna obra o instalación podrá realizarse sin que hayan sido aprobados por la Dirección de Obra los documentos de detalle correspondientes. Consecuentemente, la Dirección de Obra podrá rechazar cualquier obra o instalación que a su juicio sea inadecuada, si la característica que provoca el rechazo no se encuentra especificada en algún documento de detalle aprobado, sin que el Adjudicatario tenga derecho a su abono ni a indemnización económica alguna.</w:t>
      </w:r>
    </w:p>
    <w:p w:rsidR="00C7085E" w:rsidRDefault="00C7085E" w:rsidP="00B71B1A">
      <w:pPr>
        <w:spacing w:before="120" w:after="240" w:line="276" w:lineRule="auto"/>
        <w:ind w:right="-285"/>
      </w:pPr>
      <w:r>
        <w:t>En el caso de que la Dirección de Obra decida rechazar una obra o instalación contenida en un documento de detalle aprobado, por considerar que es necesario para el desarrollo adecuado del Proyecto, la demolición y sustitución deberán ser abonadas al Adjudicatario.</w:t>
      </w:r>
    </w:p>
    <w:p w:rsidR="00C7085E" w:rsidRDefault="00C7085E" w:rsidP="00B71B1A">
      <w:pPr>
        <w:spacing w:before="120" w:after="240" w:line="276" w:lineRule="auto"/>
        <w:ind w:right="-285"/>
      </w:pPr>
      <w:r>
        <w:t xml:space="preserve">La Dirección de Obra determinará el horario y lugar en que el Adjudicatario puede entregarle </w:t>
      </w:r>
      <w:r>
        <w:lastRenderedPageBreak/>
        <w:t>para su examen y aprobación los documentos de detalle. Con el objetivo de reducir los tiempos necesarios para la comunicación entre las partes, se dispondrá de correo electrónico en obra y en oficina técnica. El mecanismo de aprobación será el siguiente:</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El Adjudicatario recibirá una copia de los documentos de detalle que entrega, firmada por persona autorizada de la Dirección de Obra y en la que conste la fecha en la que hace entrega de dichos documentos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Si en el plazo de CINCO (5) DIAS hábiles a partir del siguiente a la entrega, el Adjudicatario no recibe respuesta alguna sobre los documentos de detalle presentados, se considerarán aprobados.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La Dirección de Obra podrá prorrogar el plazo de respuesta, comunicándolo por escrito al Adjudicatario dentro del plazo habilitado para contestar, en los casos en que el plazo de CINCO (5) DÍAS hábiles no sea suficiente a juicio de la Dirección de Obra.</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En el plazo de respuesta habilitado, la Dirección de Obra podrá devolver los documentos de detalle:</w:t>
      </w:r>
    </w:p>
    <w:p w:rsidR="00C7085E" w:rsidRDefault="00C7085E" w:rsidP="00B71B1A">
      <w:pPr>
        <w:widowControl/>
        <w:numPr>
          <w:ilvl w:val="0"/>
          <w:numId w:val="10"/>
        </w:numPr>
        <w:suppressAutoHyphens/>
        <w:spacing w:before="120" w:after="240" w:line="276" w:lineRule="auto"/>
        <w:ind w:left="1094" w:right="-285" w:hanging="357"/>
      </w:pPr>
      <w:r>
        <w:t>Aprobados</w:t>
      </w:r>
    </w:p>
    <w:p w:rsidR="00C7085E" w:rsidRDefault="00C7085E" w:rsidP="00B71B1A">
      <w:pPr>
        <w:widowControl/>
        <w:numPr>
          <w:ilvl w:val="0"/>
          <w:numId w:val="10"/>
        </w:numPr>
        <w:suppressAutoHyphens/>
        <w:spacing w:before="120" w:after="240" w:line="276" w:lineRule="auto"/>
        <w:ind w:left="1094" w:right="-285" w:hanging="357"/>
      </w:pPr>
      <w:r>
        <w:t>Aprobados con modificaciones</w:t>
      </w:r>
    </w:p>
    <w:p w:rsidR="00C7085E" w:rsidRDefault="00C7085E" w:rsidP="00B71B1A">
      <w:pPr>
        <w:widowControl/>
        <w:numPr>
          <w:ilvl w:val="0"/>
          <w:numId w:val="10"/>
        </w:numPr>
        <w:suppressAutoHyphens/>
        <w:spacing w:before="120" w:after="240" w:line="276" w:lineRule="auto"/>
        <w:ind w:left="1094" w:right="-285" w:hanging="357"/>
      </w:pPr>
      <w:r>
        <w:t>Para modificación y nueva presentación</w:t>
      </w:r>
    </w:p>
    <w:p w:rsidR="00C7085E" w:rsidRDefault="00C7085E" w:rsidP="00B71B1A">
      <w:pPr>
        <w:spacing w:before="120" w:after="240" w:line="276" w:lineRule="auto"/>
        <w:ind w:right="-285"/>
      </w:pPr>
      <w:r>
        <w:t>Si el Adjudicatario no está de acuerdo con alguna modificación deberá manifestarlo por escrito a la Dirección de Obra, en el plazo de CINCO (5) DÍAS hábiles a partir de la recepción del Documento correspondiente y la Dirección de Obra deberá estudiar la discrepancia con el Adjudicatario a la mayor brevedad posible. La decisión final de la Dirección de Obra será ejecutiva, sin perjuicio de que el Adjudicatario ejerza sus derechos en la forma que estime oportuna.</w:t>
      </w:r>
    </w:p>
    <w:p w:rsidR="00C7085E" w:rsidRDefault="00C7085E" w:rsidP="00B71B1A">
      <w:pPr>
        <w:spacing w:before="120" w:after="240" w:line="276" w:lineRule="auto"/>
        <w:ind w:right="-285"/>
      </w:pPr>
      <w:r>
        <w:t xml:space="preserve">El Adjudicatario podrá proponer, siempre por escrito, a la Dirección de Obra, la sustitución de una unidad de obra por otra que reúna mejores condiciones, el empleo de materiales de más esmerada preparación o calidad que los contratados, la ejecución con mayores dimensiones de cualesquier parte de la obra o, cualquier otra mejora de análoga naturaleza que juzgue beneficiosa para ella. </w:t>
      </w:r>
    </w:p>
    <w:p w:rsidR="00C7085E" w:rsidRDefault="00C7085E" w:rsidP="00B71B1A">
      <w:pPr>
        <w:spacing w:before="120" w:after="240" w:line="276" w:lineRule="auto"/>
        <w:ind w:right="-285"/>
      </w:pPr>
      <w:r>
        <w:t>Si la Dirección de Obra estimase conveniente, aun cuando no sea necesaria, la mejora propuesta, podrá autorizarla por escrito, pero el Adjudicatario no tendrá derecho e indemnización de ninguna clase, sino sólo al abono de lo que correspondería si hubiese construido la obra con estricta sujeción a lo contratado.</w:t>
      </w:r>
    </w:p>
    <w:p w:rsidR="00E10D38" w:rsidRDefault="00E10D38" w:rsidP="00B71B1A">
      <w:pPr>
        <w:spacing w:before="120" w:after="240" w:line="276" w:lineRule="auto"/>
        <w:ind w:right="-285"/>
      </w:pPr>
    </w:p>
    <w:p w:rsidR="00DF30E5" w:rsidRDefault="00DF30E5"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2" w:name="_Toc414200399"/>
      <w:bookmarkStart w:id="53" w:name="_Toc414200177"/>
      <w:bookmarkStart w:id="54" w:name="_Toc404238991"/>
      <w:bookmarkStart w:id="55" w:name="_Toc448741371"/>
      <w:r>
        <w:lastRenderedPageBreak/>
        <w:t>Aportación de equipo y maquinaria</w:t>
      </w:r>
      <w:bookmarkEnd w:id="52"/>
      <w:bookmarkEnd w:id="53"/>
      <w:bookmarkEnd w:id="54"/>
      <w:bookmarkEnd w:id="55"/>
    </w:p>
    <w:p w:rsidR="00C7085E" w:rsidRDefault="00C7085E" w:rsidP="00B71B1A">
      <w:pPr>
        <w:spacing w:before="120" w:after="240" w:line="276" w:lineRule="auto"/>
        <w:ind w:right="-285"/>
      </w:pPr>
      <w:r>
        <w:t>El Adjudicatario queda obligado a aportar a las obras el equipo de maquinaria y medios auxiliares que sea preciso para la buena ejecución de aquellas, en los plazos parciales y total convenidos en el Contrato.</w:t>
      </w:r>
    </w:p>
    <w:p w:rsidR="00C7085E" w:rsidRDefault="00C7085E" w:rsidP="00B71B1A">
      <w:pPr>
        <w:spacing w:before="120" w:after="240" w:line="276" w:lineRule="auto"/>
        <w:ind w:right="-285"/>
      </w:pPr>
      <w:r>
        <w:t>En el caso de que para la adjudicación del Contrato hubiese sido condición necesaria la aportación por el Adjudicatario de un equipo de maquinaria y medios auxiliares concretos y detallados, la Dirección de Obra exigirá aquella aportación en los mismos términos y detalles que se fijaron en tal ocasión.</w:t>
      </w:r>
    </w:p>
    <w:p w:rsidR="00C7085E" w:rsidRDefault="00C7085E" w:rsidP="00B71B1A">
      <w:pPr>
        <w:spacing w:before="120" w:after="240" w:line="276" w:lineRule="auto"/>
        <w:ind w:right="-285"/>
      </w:pPr>
      <w:r>
        <w:t>El equipo quedará adscrito a la obra en tanto se hallen en ejecución las unidades en que se ha de utilizar, y no podrá retirarse sin consentimiento expreso de la Dirección de Obra. Los elementos averiados o inutilizados deberán ser sustituidos por otros en condiciones y no reparados, cuando la Dirección de Obra estime que su reparación exige plazos que han de alterar el programa de trabajo.</w:t>
      </w:r>
    </w:p>
    <w:p w:rsidR="00C7085E" w:rsidRDefault="00C7085E" w:rsidP="00B71B1A">
      <w:pPr>
        <w:spacing w:before="120" w:after="240" w:line="276" w:lineRule="auto"/>
        <w:ind w:right="-285"/>
      </w:pPr>
      <w:r>
        <w:t>Cada elemento de los que constituyen el equipo será reconocido por la Dirección de Obra, anotándose sus altas y bajas de puesta en obra en el inventario del equipo, y pudiendo también rechazar cualquier elemento que considere inadecuado para el trabajo en la obra.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6" w:name="_Toc414200400"/>
      <w:bookmarkStart w:id="57" w:name="_Toc414200178"/>
      <w:bookmarkStart w:id="58" w:name="_Toc404238992"/>
      <w:bookmarkStart w:id="59" w:name="_Toc448741372"/>
      <w:r>
        <w:t>Período de Construcción</w:t>
      </w:r>
      <w:bookmarkEnd w:id="56"/>
      <w:bookmarkEnd w:id="57"/>
      <w:bookmarkEnd w:id="58"/>
      <w:bookmarkEnd w:id="59"/>
    </w:p>
    <w:p w:rsidR="00C7085E" w:rsidRDefault="00C7085E" w:rsidP="00B71B1A">
      <w:pPr>
        <w:spacing w:before="120" w:after="240" w:line="276" w:lineRule="auto"/>
        <w:ind w:right="-285"/>
      </w:pPr>
      <w:r>
        <w:t>Comienza este periodo el día siguiente a la fecha del Acta de Comprobación del Replanteo de las Obras o a la fecha del Acta de Inicio, y comprende la construcción de las obras civiles, la fabricación y adquisición de los equipos industriales necesarios y el montaje completo de los mismos.</w:t>
      </w:r>
    </w:p>
    <w:p w:rsidR="00C7085E" w:rsidRDefault="00C7085E" w:rsidP="00B71B1A">
      <w:pPr>
        <w:spacing w:before="120" w:after="240" w:line="276" w:lineRule="auto"/>
        <w:ind w:right="-285"/>
      </w:pPr>
      <w:r>
        <w:t>Durante este periodo el Adjudicatario irá aportando todos los documentos de detalle necesarios para la construcción e instalación: planos, manuales de montaje y funcionamiento, protocolos de pruebas, instrucciones de mantenimiento, etc., según el programa al efecto incluido en el Proyecto de Construcción. En particular, el Adjudicatario entregará a la Dirección de Obra dos ejemplares, en papel y en soporte digital, de todos los libros, manuales y folletos de instrucciones de operación y mantenimiento de las instalaciones, en cuanto sea posible y siempre antes de la Recepción de las Obras.</w:t>
      </w:r>
    </w:p>
    <w:p w:rsidR="00C7085E" w:rsidRDefault="00C7085E" w:rsidP="00B71B1A">
      <w:pPr>
        <w:spacing w:before="120" w:after="240" w:line="276" w:lineRule="auto"/>
        <w:ind w:right="-285"/>
      </w:pPr>
      <w:r>
        <w:t>Durante este periodo se realizarán las Pruebas de Reconocimiento. La Dirección de Obra podrá decidir que alguna de estas pruebas sea realizada o terminada durante el periodo de puesta a punto.</w:t>
      </w:r>
    </w:p>
    <w:p w:rsidR="00C7085E" w:rsidRDefault="00C7085E" w:rsidP="00B71B1A">
      <w:pPr>
        <w:spacing w:before="120" w:after="240" w:line="276" w:lineRule="auto"/>
        <w:ind w:right="-285"/>
      </w:pPr>
      <w:r>
        <w:t>La Dirección de Obra declarará oficialmente cuando el Periodo de Construcción puede darse por terminado para cada una de las obras y dar paso al Periodo de Puesta a Punto.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0" w:name="_Toc414200403"/>
      <w:bookmarkStart w:id="61" w:name="_Toc414200181"/>
      <w:bookmarkStart w:id="62" w:name="_Toc404238995"/>
      <w:bookmarkStart w:id="63" w:name="_Toc346033473"/>
      <w:bookmarkStart w:id="64" w:name="_Toc137445973"/>
      <w:bookmarkStart w:id="65" w:name="_Toc32388632"/>
      <w:bookmarkStart w:id="66" w:name="_Toc448741373"/>
      <w:r>
        <w:t>Período de Prueba General de Funcionamiento</w:t>
      </w:r>
      <w:bookmarkEnd w:id="60"/>
      <w:bookmarkEnd w:id="61"/>
      <w:bookmarkEnd w:id="62"/>
      <w:bookmarkEnd w:id="63"/>
      <w:bookmarkEnd w:id="64"/>
      <w:bookmarkEnd w:id="65"/>
      <w:bookmarkEnd w:id="66"/>
    </w:p>
    <w:p w:rsidR="00C7085E" w:rsidRDefault="00C7085E" w:rsidP="00B71B1A">
      <w:pPr>
        <w:spacing w:before="120" w:after="240" w:line="276" w:lineRule="auto"/>
        <w:ind w:right="-285"/>
      </w:pPr>
      <w:r>
        <w:t xml:space="preserve">El Período de Prueba General de Funcionamiento se desarrollará a continuación del Periodo de Construcción y puesta a punto de la instalación. Su fin es determinar la capacidad de cada una de las instalaciones para funcionar de un modo continuo. Cualquier parada de </w:t>
      </w:r>
      <w:r>
        <w:lastRenderedPageBreak/>
        <w:t>elementos principales que impida el funcionamiento continuado de las instalaciones durante este periodo implicará el comienzo del mismo tantas veces como sea necesario.</w:t>
      </w:r>
    </w:p>
    <w:p w:rsidR="00C7085E" w:rsidRDefault="00C7085E" w:rsidP="00B71B1A">
      <w:pPr>
        <w:spacing w:before="120" w:after="240" w:line="276" w:lineRule="auto"/>
        <w:ind w:right="-285"/>
      </w:pPr>
      <w:r>
        <w:t>La Dirección de Obra declarará oficialmente la finalización del Periodo de Prueba General de Funcionamiento.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7" w:name="_Toc414021752"/>
      <w:bookmarkStart w:id="68" w:name="_Toc448741374"/>
      <w:r>
        <w:t>Pruebas y ensayos previos a la recepción</w:t>
      </w:r>
      <w:bookmarkEnd w:id="67"/>
      <w:bookmarkEnd w:id="68"/>
    </w:p>
    <w:p w:rsidR="00C7085E" w:rsidRDefault="00C7085E" w:rsidP="00B71B1A">
      <w:pPr>
        <w:spacing w:before="120" w:after="240" w:line="276" w:lineRule="auto"/>
        <w:ind w:right="-285"/>
      </w:pPr>
      <w:r>
        <w:t xml:space="preserve">Previamente a la Recepción de las Obras se realizarán las Pruebas de Reconocimiento establecidas en el programa de pruebas incluido en el Proyecto de Construcción. Las Pruebas de Reconocimiento se realizarán, salvo estipulación en contrario del PPTP, de acuerdo con el establecido en el presente Pliego y, en su defecto, en función de las normas relacionadas en </w:t>
      </w:r>
      <w:r w:rsidR="00DF30E5">
        <w:fldChar w:fldCharType="begin"/>
      </w:r>
      <w:r w:rsidR="00DF30E5">
        <w:instrText xml:space="preserve"> REF _Ref422743286 \r \h  \* MERGEFORMAT </w:instrText>
      </w:r>
      <w:r w:rsidR="00DF30E5">
        <w:fldChar w:fldCharType="separate"/>
      </w:r>
      <w:r w:rsidR="006B1686">
        <w:t>CAPÍTULO 3</w:t>
      </w:r>
      <w:r w:rsidR="00DF30E5">
        <w:fldChar w:fldCharType="end"/>
      </w:r>
      <w:r>
        <w:t xml:space="preserve"> del mismo. El programa de pruebas incluido en el Proyecto de Construcción estipulará cuales deben realizarse en taller, en obra o en laboratorio, así como las pruebas de sistemas que comprendan varios equipos y que deban realizarse después de la instalación de los mismos.</w:t>
      </w:r>
    </w:p>
    <w:p w:rsidR="00C7085E" w:rsidRDefault="00C7085E" w:rsidP="00B71B1A">
      <w:pPr>
        <w:spacing w:before="120" w:after="240" w:line="276" w:lineRule="auto"/>
        <w:ind w:right="-285"/>
      </w:pPr>
      <w:r>
        <w:t>Los gastos originados por el desarrollo de las pruebas y ensayos previos a la recepción correrán a cargo del Adjudicatario.</w:t>
      </w:r>
    </w:p>
    <w:p w:rsidR="00C7085E" w:rsidRDefault="00C7085E" w:rsidP="00B71B1A">
      <w:pPr>
        <w:spacing w:before="120" w:after="240" w:line="276" w:lineRule="auto"/>
        <w:ind w:right="-285"/>
      </w:pPr>
      <w:r>
        <w:t>Las Pruebas de Reconocimiento verificadas durante la ejecución de los trabajos, no tienen otro carácter que el simple antecedente para la Recepción de las Obras. Por lo tanto, la admisión de materiales, elementos o unidades, que de cualquier forma se realice en el curso de las obras y antes de su Recepción, no atenúa la obligación de subsanar o reponer deficiencias, si las instalaciones resultasen inaceptables, parcial o totalmente, en el acto de la Recepción.</w:t>
      </w:r>
    </w:p>
    <w:p w:rsidR="00C7085E" w:rsidRDefault="00C7085E" w:rsidP="00B71B1A">
      <w:pPr>
        <w:spacing w:before="120" w:after="240" w:line="276" w:lineRule="auto"/>
        <w:ind w:right="-285"/>
      </w:pPr>
      <w:r>
        <w:t>La Prueba General de Funcionamiento se realizará  antes de la Recepción de las obras y se considerará satisfactoria cuando todos los sistemas mecánicos, eléctricos, instrumentación, automatización y supervisión funcionen correctamente en condiciones de trabajo reales durante el periodo estipulado.</w:t>
      </w:r>
    </w:p>
    <w:p w:rsidR="00C7085E" w:rsidRDefault="00C7085E" w:rsidP="00B71B1A">
      <w:pPr>
        <w:spacing w:before="120" w:after="240" w:line="276" w:lineRule="auto"/>
        <w:ind w:right="-285"/>
      </w:pPr>
      <w:r>
        <w:t>El Adjudicatario deberá avisar la fecha de la realización de las pruebas a la Dirección de Obra con antelación suficiente para que pueda estar presente en todas las pruebas y ensayos de materiales, mecanismos y obra ejecutada, establecidas en el programa de pruebas. Las pruebas especializadas deberán confiarse a laboratorios homologados, independientes del Adjudicatario, salvo decisión en contra de la Dirección de Obra.</w:t>
      </w:r>
    </w:p>
    <w:p w:rsidR="00C7085E" w:rsidRDefault="00C7085E" w:rsidP="00B71B1A">
      <w:pPr>
        <w:spacing w:before="120" w:after="240" w:line="276" w:lineRule="auto"/>
        <w:ind w:right="-285"/>
      </w:pPr>
      <w:r>
        <w:t>No se procederá al empleo de los materiales sin que estos sean examinados y aceptados por la Dirección de Obra, previa realización de las pruebas y ensayos previstos.</w:t>
      </w:r>
    </w:p>
    <w:p w:rsidR="00C7085E" w:rsidRDefault="00C7085E" w:rsidP="00B71B1A">
      <w:pPr>
        <w:spacing w:before="120" w:after="240" w:line="276" w:lineRule="auto"/>
        <w:ind w:right="-285"/>
      </w:pPr>
      <w:r>
        <w:t xml:space="preserve">El resultado negativo de las pruebas a que se refiere el presente apartado dará lugar a la reiteración de las mismas tantas veces cuantas considere necesarias la Dirección de Obra y en los lugares elegidos por ésta, hasta comprobar si la prueba negativa afecta a una zona parcial susceptible de reparación o refleja defecto de conjunto que motive la no admisión en su totalidad de la obra comprobada. </w:t>
      </w:r>
      <w:bookmarkStart w:id="69" w:name="_Toc404238997"/>
    </w:p>
    <w:p w:rsidR="00E10D38" w:rsidRDefault="00E10D38"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70" w:name="_Toc448741375"/>
      <w:r>
        <w:lastRenderedPageBreak/>
        <w:t>Actas de Pruebas</w:t>
      </w:r>
      <w:bookmarkEnd w:id="70"/>
    </w:p>
    <w:p w:rsidR="00C7085E" w:rsidRDefault="00C7085E" w:rsidP="00B71B1A">
      <w:pPr>
        <w:spacing w:before="120" w:after="240" w:line="276" w:lineRule="auto"/>
        <w:ind w:right="-285"/>
      </w:pPr>
      <w:r>
        <w:t>De las pruebas de materiales, aparatos, obras ejecutadas, y de puesta a punto de los diferentes sistemas y subsistemas, se levantarán Actas que servirán de antecedentes para la recepción de las obras.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71" w:name="_Toc448741376"/>
      <w:r>
        <w:t>Pruebas de rendimiento durante el período de garantía</w:t>
      </w:r>
      <w:bookmarkEnd w:id="69"/>
      <w:bookmarkEnd w:id="71"/>
    </w:p>
    <w:p w:rsidR="00C7085E" w:rsidRDefault="00C7085E" w:rsidP="00B71B1A">
      <w:pPr>
        <w:spacing w:before="120" w:after="240" w:line="276" w:lineRule="auto"/>
        <w:ind w:right="-285"/>
      </w:pPr>
      <w:r>
        <w:t>Durante el Periodo de Garantía se llevará a cabo un completo programa de pruebas, que servirá como base para la comprobación del cumplimiento de las condiciones que se exigen a las instalaciones y a sus diversos elementos, y en su caso, al establecimiento de fianzas especiales.</w:t>
      </w:r>
    </w:p>
    <w:p w:rsidR="00C7085E" w:rsidRDefault="00C7085E" w:rsidP="00B71B1A">
      <w:pPr>
        <w:spacing w:before="120" w:after="240" w:line="276" w:lineRule="auto"/>
        <w:ind w:right="-285"/>
      </w:pPr>
      <w:r>
        <w:t>Los gastos a que den lugar las pruebas que se establecen durante el periodo de garantía, serán de cuenta de Canal de Isabel II Gestión, salvo los originados por el personal que el Adjudicatario designe para la asistencia a las pruebas.</w:t>
      </w:r>
    </w:p>
    <w:p w:rsidR="00C7085E" w:rsidRDefault="00C7085E" w:rsidP="00B71B1A">
      <w:pPr>
        <w:spacing w:before="120" w:after="240" w:line="276" w:lineRule="auto"/>
        <w:ind w:right="-285"/>
      </w:pPr>
      <w:r>
        <w:t>En las instalaciones de bombeo se realizarán también, pruebas de consumo de energía mediante el establecimiento de estados de consumo mensual, según lectura de los contadores correspondientes a las distintas partes de la instalación.</w:t>
      </w:r>
    </w:p>
    <w:p w:rsidR="00C7085E" w:rsidRDefault="00C7085E" w:rsidP="00B71B1A">
      <w:pPr>
        <w:spacing w:before="120" w:after="240" w:line="276" w:lineRule="auto"/>
        <w:ind w:right="-285"/>
      </w:pPr>
      <w:r>
        <w:t>De igual forma, en todas las instalaciones caracterizadas por un alto consumo energético (minicentrales eléctricas, instalaciones de cogeneración, etc.) se realizarán pruebas de consumo de energía.</w:t>
      </w:r>
    </w:p>
    <w:p w:rsidR="00C7085E" w:rsidRDefault="00C7085E" w:rsidP="00B71B1A">
      <w:pPr>
        <w:spacing w:before="120" w:after="240" w:line="276" w:lineRule="auto"/>
        <w:ind w:right="-285"/>
      </w:pPr>
      <w:r>
        <w:t>Si los consumos globales hallados no coincidieran con los que deben corresponder al tiempo de funcionamiento de las distintas máquinas, según los datos de los aparatos registradores y los partes de explotación, se investigará la causa de las deficiencias comprobándose directamente los rendimientos de aquellas máquinas, y se procederá a su sustitución o reparación o la aplicación de sanciones cuando haya lugar.</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72" w:name="_Toc414021755"/>
      <w:bookmarkStart w:id="73" w:name="_Toc448741377"/>
      <w:r>
        <w:t>Materiales y unidades no incluidos en el presente Pliego</w:t>
      </w:r>
      <w:bookmarkEnd w:id="72"/>
      <w:bookmarkEnd w:id="73"/>
    </w:p>
    <w:p w:rsidR="00C7085E" w:rsidRDefault="00C7085E" w:rsidP="00B71B1A">
      <w:pPr>
        <w:spacing w:before="120" w:after="240" w:line="276" w:lineRule="auto"/>
        <w:ind w:right="-285"/>
      </w:pPr>
      <w:r>
        <w:t>Los materiales y unidades cuyas condiciones no estén especificadas en este Pliego cumplirán las prescripciones de los Pliegos, Instrucciones o Normas aprobadas con carácter oficial, en los casos en que dichos documentos sean aplicables.</w:t>
      </w:r>
    </w:p>
    <w:p w:rsidR="00C7085E" w:rsidRDefault="00C7085E" w:rsidP="00B71B1A">
      <w:pPr>
        <w:spacing w:before="120" w:after="240" w:line="276" w:lineRule="auto"/>
        <w:ind w:right="-285"/>
      </w:pPr>
      <w:r>
        <w:t>La Dirección de Obra podrá rechazar dichos materiales si no reúnen, a su juicio, las condiciones exigibles para conseguir debidamente el objeto que motivará su empleo y sin que el Contratista tenga derecho, en tal caso, a reclamación alguna.</w:t>
      </w:r>
    </w:p>
    <w:p w:rsidR="00C7085E" w:rsidRPr="00EF3DE9" w:rsidRDefault="00C7085E" w:rsidP="00B71B1A">
      <w:pPr>
        <w:pStyle w:val="Ttulo1"/>
        <w:pageBreakBefore/>
        <w:suppressAutoHyphens/>
        <w:spacing w:before="0" w:after="240" w:line="276" w:lineRule="auto"/>
        <w:ind w:left="1985" w:right="-285" w:hanging="1985"/>
        <w:jc w:val="both"/>
        <w:rPr>
          <w:szCs w:val="20"/>
        </w:rPr>
      </w:pPr>
      <w:bookmarkStart w:id="74" w:name="_Toc448741378"/>
      <w:r w:rsidRPr="00EF3DE9">
        <w:rPr>
          <w:szCs w:val="20"/>
        </w:rPr>
        <w:lastRenderedPageBreak/>
        <w:t>PROTECCIONES MEDIOAMBIENTALES</w:t>
      </w:r>
      <w:bookmarkEnd w:id="74"/>
    </w:p>
    <w:p w:rsidR="00C7085E" w:rsidRDefault="00C7085E" w:rsidP="00B71B1A">
      <w:pPr>
        <w:spacing w:before="120" w:after="240" w:line="276" w:lineRule="auto"/>
        <w:ind w:right="-285"/>
      </w:pPr>
      <w:r>
        <w:t>Se procederá a la identificación de riesgos y al establecimiento de las medidas y condiciones de ejecución necesarias con el objeto de asegurar la protección medioambiental del entorno de las obras.</w:t>
      </w:r>
    </w:p>
    <w:p w:rsidR="00C7085E" w:rsidRDefault="00C7085E" w:rsidP="00B71B1A">
      <w:pPr>
        <w:spacing w:before="120" w:after="240" w:line="276" w:lineRule="auto"/>
        <w:ind w:right="-285"/>
      </w:pPr>
      <w:r>
        <w:t>Se deberá evitar la contaminación del aire, cursos de agua, cultivos, montes y en general, cualquier clase de bien público o privado, que pudiera producir la ejecución de las obras, explotación de canteras, talleres y demás instalaciones auxiliares, aunque estuvieran localizados en terrenos de la propiedad. Los límites de contaminación admisibles serán los definidos como tolerables por las disposiciones vigentes o por la Autoridad competente.</w:t>
      </w:r>
    </w:p>
    <w:p w:rsidR="00C7085E" w:rsidRDefault="00C7085E" w:rsidP="00B71B1A">
      <w:pPr>
        <w:spacing w:before="120" w:after="240" w:line="276" w:lineRule="auto"/>
        <w:ind w:right="-285"/>
      </w:pPr>
      <w:r>
        <w:t xml:space="preserve">En general, se seguirá lo marcado como medidas protectoras y correctoras del impacto ambiental en el Estudio de Impacto Ambiental, documento que además contendrá los aspectos referentes a descripción general del proyecto, alternativas estudiadas, justificación de la solución adoptada, evaluación de los efectos ambientales , programa de vigilancia ambiental y un resumen comprensible del mismo </w:t>
      </w:r>
    </w:p>
    <w:p w:rsidR="00C7085E" w:rsidRDefault="00C7085E" w:rsidP="00B71B1A">
      <w:pPr>
        <w:spacing w:before="120" w:after="240" w:line="276" w:lineRule="auto"/>
        <w:ind w:right="-285"/>
      </w:pPr>
      <w:r>
        <w:t>Además, en el caso de que exista Declaración de Impacto Ambiental, o Condicionado Ambiental, el Contratista estará obligado a ejecutar su contenido.</w:t>
      </w:r>
    </w:p>
    <w:p w:rsidR="00C7085E" w:rsidRDefault="00C7085E" w:rsidP="00B71B1A">
      <w:pPr>
        <w:spacing w:before="120" w:after="240" w:line="276" w:lineRule="auto"/>
        <w:ind w:right="-285"/>
      </w:pPr>
      <w:r>
        <w:t>En particular se procederá a tomar las medidas necesarias para:</w:t>
      </w:r>
    </w:p>
    <w:p w:rsidR="00C7085E" w:rsidRDefault="00C7085E" w:rsidP="00B71B1A">
      <w:pPr>
        <w:pStyle w:val="Prrafodelista"/>
        <w:numPr>
          <w:ilvl w:val="0"/>
          <w:numId w:val="11"/>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Evitar la contaminación atmosférica por la emisión de polvo en las operaciones de movimiento de tierras, transporte, manipulación y ensilado de cemento, en el proceso de producción de los áridos, en las plantas de mezclas bituminosas y en la perforación en seco de las rocas.</w:t>
      </w:r>
    </w:p>
    <w:p w:rsidR="00C7085E" w:rsidRDefault="00C7085E" w:rsidP="00B71B1A">
      <w:pPr>
        <w:pStyle w:val="Prrafodelista"/>
        <w:numPr>
          <w:ilvl w:val="0"/>
          <w:numId w:val="11"/>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Evitar la contaminación acústica derivada de la utilización de maquinaria de forma que no resulten nocivos para las personas ajenas a la obra ni para las personas afectas a las mismas.</w:t>
      </w:r>
    </w:p>
    <w:p w:rsidR="00C7085E" w:rsidRDefault="00C7085E" w:rsidP="00B71B1A">
      <w:pPr>
        <w:pStyle w:val="Prrafodelista"/>
        <w:numPr>
          <w:ilvl w:val="0"/>
          <w:numId w:val="11"/>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Proteger la calidad de las aguas continentales evitando los derrames accidentales de sustancias potencialmente contaminantes y aguas residuales.</w:t>
      </w:r>
    </w:p>
    <w:p w:rsidR="00C7085E" w:rsidRDefault="00C7085E" w:rsidP="00B71B1A">
      <w:pPr>
        <w:pStyle w:val="Prrafodelista"/>
        <w:numPr>
          <w:ilvl w:val="0"/>
          <w:numId w:val="11"/>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Proteger el suelo, la fauna y flora</w:t>
      </w:r>
    </w:p>
    <w:p w:rsidR="00C7085E" w:rsidRDefault="00C7085E" w:rsidP="00B71B1A">
      <w:pPr>
        <w:pStyle w:val="Prrafodelista"/>
        <w:numPr>
          <w:ilvl w:val="0"/>
          <w:numId w:val="11"/>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Reducir la generación y peligrosidad de residuos y proceder a la gestión correcta de los mismos.</w:t>
      </w:r>
    </w:p>
    <w:p w:rsidR="00C7085E" w:rsidRDefault="00C7085E" w:rsidP="00B71B1A">
      <w:pPr>
        <w:spacing w:before="120" w:after="240" w:line="276" w:lineRule="auto"/>
        <w:ind w:right="-285"/>
        <w:rPr>
          <w:rFonts w:cs="Arial"/>
          <w:lang w:val="es-ES_tradnl" w:eastAsia="es-ES_tradnl"/>
        </w:rPr>
      </w:pPr>
    </w:p>
    <w:p w:rsidR="00C7085E" w:rsidRPr="00EF3DE9" w:rsidRDefault="00C7085E" w:rsidP="00B71B1A">
      <w:pPr>
        <w:pStyle w:val="Ttulo1"/>
        <w:pageBreakBefore/>
        <w:suppressAutoHyphens/>
        <w:spacing w:before="0" w:after="240" w:line="276" w:lineRule="auto"/>
        <w:ind w:left="1985" w:right="-285" w:hanging="1985"/>
        <w:jc w:val="both"/>
        <w:rPr>
          <w:szCs w:val="20"/>
        </w:rPr>
      </w:pPr>
      <w:bookmarkStart w:id="75" w:name="_Toc414200188"/>
      <w:bookmarkStart w:id="76" w:name="_Toc414200410"/>
      <w:bookmarkStart w:id="77" w:name="_Ref422743286"/>
      <w:bookmarkStart w:id="78" w:name="_Toc448741379"/>
      <w:bookmarkEnd w:id="75"/>
      <w:bookmarkEnd w:id="76"/>
      <w:r w:rsidRPr="00EF3DE9">
        <w:rPr>
          <w:szCs w:val="20"/>
        </w:rPr>
        <w:lastRenderedPageBreak/>
        <w:t>LEGISLACIÓN Y NORMATIVA DE APLICACIÓN</w:t>
      </w:r>
      <w:bookmarkEnd w:id="77"/>
      <w:bookmarkEnd w:id="78"/>
    </w:p>
    <w:p w:rsidR="00C7085E" w:rsidRDefault="00C7085E" w:rsidP="00B71B1A">
      <w:pPr>
        <w:spacing w:before="120" w:after="240" w:line="276" w:lineRule="auto"/>
        <w:ind w:right="-285"/>
      </w:pPr>
      <w:r>
        <w:t>Además de lo especificado en el presente Pliego serán de aplicación en las obras regidas por este PPT las siguientes disposiciones, normas y reglamentos en lo que resulte aplicable. Para la aplicación y cumplimiento de las mismas, así como para la interpretación de errores u omisiones contenidos en ellas, se seguirá el orden de mayor a menor rango legal de las disposiciones que haya servido para su aplicación.</w:t>
      </w:r>
    </w:p>
    <w:p w:rsidR="00C7085E" w:rsidRDefault="00C7085E" w:rsidP="00B71B1A">
      <w:pPr>
        <w:spacing w:before="120" w:after="240" w:line="276" w:lineRule="auto"/>
        <w:ind w:right="-285"/>
        <w:rPr>
          <w:b/>
          <w:u w:val="single"/>
        </w:rPr>
      </w:pPr>
      <w:r>
        <w:rPr>
          <w:b/>
          <w:u w:val="single"/>
        </w:rPr>
        <w:t>Normativa del Canal Isabel II Gestión, S.A.</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Normas para redes de abastecimiento de Canal de Isabel II Gestión. Versión 2012 o aquella por la que sea sustituida en un futuro.</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Normas para redes de reutilización del Canal de Isabel II. Versión 2007 o aquella por la que sea sustituida en un futuro.</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Normas para redes de saneamiento del Canal de Isabel II. Versión 2006 o aquella por la que sea sustituida en un futuro.</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Especificación técnica de elementos de maniobra y control: Válvulas de mariposa. Versión 2013.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Especificación técnica de elementos de cierre. Versión 2013.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Especificación técnica de elementos de maniobra y control. Válvulas de compuerta. Versión 2012.</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Especificación técnica de acometidas de agua para consumo humano. Versión 2011.</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Normas Técnicas para la instalación de tritubo de polietileno en conducciones enterradas de comunicaciones. Versión 2003.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Normas Técnicas de elementos de maniobra y control: Válvulas de regulación y seguridad. Versión 1996.</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 xml:space="preserve">Normas Técnicas de elementos de maniobra y control: Válvulas de aeración. Versión </w:t>
      </w:r>
      <w:r w:rsidR="00E920BF">
        <w:t>2015</w:t>
      </w:r>
      <w:r>
        <w:t>.</w:t>
      </w:r>
    </w:p>
    <w:p w:rsidR="00EE5323" w:rsidRDefault="00EE5323" w:rsidP="00B71B1A">
      <w:pPr>
        <w:widowControl/>
        <w:autoSpaceDE/>
        <w:autoSpaceDN/>
        <w:adjustRightInd/>
        <w:spacing w:line="276" w:lineRule="auto"/>
        <w:ind w:right="-285"/>
        <w:jc w:val="left"/>
        <w:rPr>
          <w:b/>
          <w:u w:val="single"/>
        </w:rPr>
      </w:pPr>
      <w:r>
        <w:rPr>
          <w:b/>
          <w:u w:val="single"/>
        </w:rPr>
        <w:br w:type="page"/>
      </w:r>
    </w:p>
    <w:p w:rsidR="00C7085E" w:rsidRDefault="00C7085E" w:rsidP="00B71B1A">
      <w:pPr>
        <w:spacing w:before="120" w:after="240" w:line="276" w:lineRule="auto"/>
        <w:ind w:right="-285"/>
        <w:rPr>
          <w:u w:val="single"/>
        </w:rPr>
      </w:pPr>
      <w:r>
        <w:rPr>
          <w:b/>
          <w:u w:val="single"/>
        </w:rPr>
        <w:lastRenderedPageBreak/>
        <w:t>Legislación Administrativa y de Contratación</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Legislativo 3/2011, de 14 de noviembre, por el que se aprueba el texto refundido de la Ley de Contratos del Sector Público (BOE n 276, de 16 de noviembre de 2011).</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6/2013, de 23 de diciembre, de Medidas Fiscales, Administrativas de la Comunidad de Madrid (BOCM nº309 de 30 de diciembre de 2013).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9/2010, de 23 de diciembre, de Medidas Fiscales, Administrativas y Racionalización del Sector Público (BOCM nº310 de 29 de diciembre de 2010. Corrección de errores: BOCM de 25 de febrero y 15 de abril de 2011 y BOE nº118 de 18 de mayo de 2011).</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3/2008, de 29 de diciembre, de Medidas Fiscales y Administrativas de la Comunidad de Madrid (BOCM nº310 de 30 de diciembre de 2008, excepto los artículos 1, 2, 3, 4 y 5 y la disposición transitoria tercera derogados por la Ley 10/2009 de 29 de diciembre (BOCM nº308 de 29 de diciembre de 2009).</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31/2007, de 30 de octubre, sobre Procedimientos de contratación en los sectores del agua, la energía, los transportes y los servicios postales y sus modificaciones posteriores (BOE n 261, de 31 de octubre de 2007).</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2/2004, de 31 de mayo de Medidas Fiscales y Administrativas de la Comunidad de Madrid (BOCM nº129 de 1 de junio de 2004), incluyendo las modificaciones efectuadas por la Ley 5/2004 de 28 de diciembre (BOCM nº310 de 30 de diciembre de 2004) y la Ley 10/2009 de 23 de diciembre (BOCM nº308 de 29 de diciembre de 2009).</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9/2001, de 17 de julio, del Suelo de la Comunidad de Madrid. (BOCM nº177, de 27 de julio de 2001).</w:t>
      </w:r>
    </w:p>
    <w:p w:rsidR="00C7085E" w:rsidRDefault="00C7085E" w:rsidP="00B71B1A">
      <w:pPr>
        <w:spacing w:before="120" w:after="240" w:line="276" w:lineRule="auto"/>
        <w:ind w:right="-285"/>
        <w:rPr>
          <w:b/>
          <w:u w:val="single"/>
        </w:rPr>
      </w:pPr>
      <w:r>
        <w:rPr>
          <w:b/>
          <w:u w:val="single"/>
        </w:rPr>
        <w:t>Legislación Medioambiental</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270/2014, de 11 de abril, por el que se aprueba el Plan Hidrológico de la parte española de la demarcación hidrográfica del Tajo. (BOE nº89, de 12 de abril de 2014).</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21/2013 de 9 de diciembre de 2013 de Evaluación ambiental (BOE nº296 de 11 de diciembre de 2013).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2/2002, de 19 de junio, de Evaluación Ambiental de la Comunidad de Madrid para la Protección de Medio Ambiente (BOCM nº154 de 1 de julio de 2002).</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Decreto 55/2012, de 15 de marzo, por el que se establece el régimen legal de protección contra la contaminación acústica en la Comunidad de Madrid (BOCM nº121 de 22 de mayo de 2012).</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lastRenderedPageBreak/>
        <w:t>Decreto 58/2009, de 4 de junio, por el que se aprueba el Plan de protección civil de emergencias por incendios forestales en la Comunidad de Madrid (INFOMA). (BOCM nº138 de 12 de junio de 2009).</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105/2008, de 1 de febrero, por el que se regula la producción y gestión de los residuos de construcción y demolición (BOE n 38, de 13 de febrero de 2008).</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1620/2007 de 7 de diciembre por el que se establece el régimen jurídico de la reutilización de las aguas depuradas (BOE n 294, de 8 de diciembre de 2007).</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34/2007, de 15 de noviembre, de calidad del aire y protección de la atmósfera (BOE nº275, de 16 de noviembre de 2007).</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8/2005, de 26 de diciembre de Protección y Fomento del Arbolado Urbano de la Comunidad de Madrid. (BOCM nº312 de 31 de diciembre de 2005).</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5/2003, de 20 de marzo, de Residuos de la Comunidad de Madrid. (BOCM nº128 de 29 de mayo de 2003).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Orden MAM/304/2002, de 8 de febrero, por la que se publican las operaciones de valorización y eliminación de residuos y la lista europea de residuos (BOE nº43, de 19 de febrero de 2002).</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140/2003, de 7 de febrero, por el que se establecen los criterios sanitarios de la calidad del agua de consumo humano (BOE nº45, de 21 de febrero de 2003).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Orden SSI/304/2013, de 19 de febrero, sobre sustancias para el tratamiento del agua destinada a la producción de agua de consumo humano. (BOE nº50, de 27 de febrero de 2013).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Directiva 98/83/CE del Consejo, de 3 de noviembre de 1998, relativa a la calidad de las aguas destinadas al consumo humano. (DOUE nº330, de 5 de diciembre de 1998).</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865/2003, de 4 de julio, por el que se establecen los criterios higiénico-sanitarios para la prevención y control de la legionelosis, excepto el artículo 13 que es modificado en el Real Decreto 830/2010, de 25 de junio (BOE nº171, de 18 de julio de 2003).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866/2008, de 23 de mayo, por el que se aprueba la lista de sustancias permitidas para la fabricación de materiales y objetos plásticos destinados a entrar en contacto con los alimentos y se regulan determinadas condiciones de ensayo (BOE nº131, de 30 de mayo de 2008).</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1/2001, del 20 de julio, por el que se aprueba el Texto Refundido de la Ley de Aguas, y posteriores modificaciones (BOE nº176 de 24 de Julio de 2001).</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lastRenderedPageBreak/>
        <w:t>Ley 8/1998 de 15 de junio de Vías Pecuarias de la Comunidad de Madrid (BOE nº206, de 28 de agosto de 1998) y todas las leyes y reglamentos vigentes sobre vías pecuarias.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3/1995, de 23 de marzo, de Vías Pecuarias (BOE nº71, de 24 de marzo de 1995).</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396/2006, de 31 de marzo, por el que se establecen las disposiciones mínimas de seguridad y salud aplicables a los trabajos con riesgo de exposición al amianto (BOE nº86, de 11 de abril de 2006).</w:t>
      </w:r>
    </w:p>
    <w:p w:rsidR="00C7085E" w:rsidRDefault="00C7085E" w:rsidP="00B71B1A">
      <w:pPr>
        <w:spacing w:before="120" w:after="240" w:line="276" w:lineRule="auto"/>
        <w:ind w:right="-285"/>
        <w:rPr>
          <w:b/>
          <w:u w:val="single"/>
        </w:rPr>
      </w:pPr>
      <w:r>
        <w:rPr>
          <w:b/>
          <w:u w:val="single"/>
        </w:rPr>
        <w:t>Legislación de Obras Hidráulicas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Orden de 15 de septiembre de 1986 por la que se aprueba el Pliego de Prescripciones Técnicas Generales para Tuberías de Saneamiento de Poblaciones (BOE nº228, de 23 de septiembre de 1986).</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Orden de 28 de julio de 1974 por la que se aprueba el Pliego de Prescripciones Técnicas Generales para Tuberías de abastecimiento de agua (BOE nº236, de 2 de octubre de 1974).</w:t>
      </w:r>
    </w:p>
    <w:p w:rsidR="00C7085E" w:rsidRDefault="00EE5323" w:rsidP="00E920BF">
      <w:pPr>
        <w:widowControl/>
        <w:autoSpaceDE/>
        <w:autoSpaceDN/>
        <w:adjustRightInd/>
        <w:spacing w:line="276" w:lineRule="auto"/>
        <w:ind w:right="-285"/>
        <w:jc w:val="left"/>
        <w:rPr>
          <w:b/>
          <w:u w:val="single"/>
        </w:rPr>
      </w:pPr>
      <w:r>
        <w:rPr>
          <w:b/>
          <w:u w:val="single"/>
        </w:rPr>
        <w:br w:type="page"/>
      </w:r>
      <w:r w:rsidR="00C7085E">
        <w:rPr>
          <w:b/>
          <w:u w:val="single"/>
        </w:rPr>
        <w:lastRenderedPageBreak/>
        <w:t>Normativa de estructuras, edificación e instalaciones industriales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751/2011, de 27 de mayo, por el que se aprueba la Instrucción de Acero Estructural (EAE) (BOE nº149, de 23 de junio de 2011).</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1247/2008, de 18 de julio, por el que se aprueba la instrucción de hormigón estructural (EHE) (BOE nº203, de 22 de agosto de 2008).</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956/2008, de 6 de junio, por el que se aprueba la Instrucción para la recepción de cementos. (RC-08) (BOE nº148, de 19 de junio de 2008).</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314/2006, de 17 de marzo, por el que se aprueba Código Técnico de la Edificación y posteriores modificaciones y ampliaciones (BOE nº74, de 28 de marzo de 2006).</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997/2002 de 27 de septiembre, por el que se aprueba la  Norma de Construcción Sismorresistente (NCSR-02) (BOE nº244, de 11 de octubre de 2002).</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Decreto 3565/1972, de 23 de diciembre, por el que se establecen las Normas Tecnológicas de la edificación, NTE (BOE nº13, de 15 de enero de 1973).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8/1993, de 22 de junio, de Promoción de la Accesibilidad y Supresión de Barreras Arquitectónicas (BOCM nº152 de 29 de junio de 1993).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1942/1993, de 5 de noviembre, por el que se aprueba el Reglamento de Instalaciones de Protección contra Incendios (BOE nº298, de 14 de diciembre de 1993) y sus posteriores modificaciones incluidas en el Real Decreto 560/2010 de 7 de mayo (BOE nº125, de 22 de mayo de 2010), en la Orden de 27 de julio de 1999 (BOE nº186, de 5 de agosto de 1999) y en la Orden de 16 de abril de 1998 (BOE nº101, de 28 de abril de 1998).</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2267/2004, de 3 de diciembre, por el que se aprueba el Reglamento de Seguridad contra Incendios en Establecimientos Industriales (BOE nº303, de 17 de diciembre de 2004), y las modificaciones incluidas en el Real Decreto 560/2010 de 7 de mayo (BOE nº125, de 22 de mayo de 2010).</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1027/2007, de 20 de julio, por el que se aprueba el Reglamento de Instalaciones Térmicas en los edificios (BOE nº207, de 29 de agosto de 2007) y sus posteriores modificaciones incluidas en el Real Decreto 238/2013, de 5 de abril (BOE nº213, de 5 de septiembre de 2013).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919/2006, de 28 de julio, por el que se aprueba el Reglamento técnico de distribución y utilización de combustibles gaseosos y sus instrucciones técnicas complementarias ICG 01 a 11 (BOE nº211, de 4 de septiembre de 2006) y modificaciones incluidas en el Real Decreto 560/2010, de 7 de mayo (BOE nº125, de 22 de mayo de 2010).</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lastRenderedPageBreak/>
        <w:t>Reglamentos de redes y acometidas de combustibles gaseosos, aprobado por Orden de 18 de noviembre de 1974 (BOE nº292, de 6 de diciembre de 1974) y las modificaciones incluidas en la Orden de 6 de julio de 1984 (BOE nº175, de 23 de julio de 1984).</w:t>
      </w:r>
    </w:p>
    <w:p w:rsidR="00C7085E" w:rsidRDefault="00C7085E" w:rsidP="00B71B1A">
      <w:pPr>
        <w:widowControl/>
        <w:numPr>
          <w:ilvl w:val="0"/>
          <w:numId w:val="8"/>
        </w:numPr>
        <w:autoSpaceDE/>
        <w:autoSpaceDN/>
        <w:adjustRightInd/>
        <w:spacing w:before="120" w:after="240" w:line="276" w:lineRule="auto"/>
        <w:ind w:left="714" w:right="-285" w:hanging="357"/>
      </w:pPr>
      <w:r>
        <w:t>Real Decreto 2060/2008, de 12 de diciembre, por el que se aprueba el Reglamento de equipos a presión y sus instrucciones técnicas complementarias (BOE nº31, de 5 de febrero de 2009) y las modificaciones incluidas en el Real Decreto 1388/2011, de 14 de octubre (BOE nº249, de 15 de octubre de 2011) y en el Real Decreto 560/2010, de 7 de mayo (BOE nº125, de 22 de mayo de 2010).</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379/2001, de 6 de abril, por el que se aprueba el Reglamento de almacenamiento de productos químicos y sus instrucciones técnicas complementarias MIE APQ-1, MIE APQ-2, MIE APQ-3, MIE APQ-4, MIE APQ-5, MIE APQ-6 y MIE APQ-7 (BOE nº112, de 10 de mayo de 2001) y las posteriores modificaciones recogidas en el Real Decreto 105/2010, de 5 de febrero (BOE nº67, de 18 de marzo de 2010).</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769/1999, de 7 de mayo, que dicta las disposiciones de aplicación de la Directiva del Parlamento Europeo y del Consejo, 97/23/CE, relativa a los equipos de presión y modifica el Real decreto 1244/1979, de 4 de Abril de 1979, que aprobó el Reglamento de aparatos a presión (BOE nº129, de 31 de mayo de 1999).</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230/1998, de 16 de febrero, por el que se aprueba el Reglamento de explosivos (BOE nº61, de 12 de marzo de 1998).</w:t>
      </w:r>
    </w:p>
    <w:p w:rsidR="00C7085E" w:rsidRDefault="00C7085E" w:rsidP="00B71B1A">
      <w:pPr>
        <w:pStyle w:val="Prrafodelista"/>
        <w:numPr>
          <w:ilvl w:val="0"/>
          <w:numId w:val="8"/>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Orden 688/2008, de 29 de febrero, de la Consejería de Economía y Consumo, por la que se modifica la Orden 9343/2003, de 1 de octubre, por la que se establece el procedimiento para el registro, puesta en servicio e inspección de instalaciones térmicas no industriales en los edificios, conforme a lo establecido en el Decreto 38/2002, de 28 de febrero. (BOCM de 18 de marzo de 2008).</w:t>
      </w:r>
    </w:p>
    <w:p w:rsidR="00C7085E" w:rsidRPr="00796B4E" w:rsidRDefault="004A6A0E" w:rsidP="00B71B1A">
      <w:pPr>
        <w:widowControl/>
        <w:numPr>
          <w:ilvl w:val="0"/>
          <w:numId w:val="8"/>
        </w:numPr>
        <w:suppressAutoHyphens/>
        <w:autoSpaceDE/>
        <w:autoSpaceDN/>
        <w:adjustRightInd/>
        <w:spacing w:before="120" w:after="240" w:line="276" w:lineRule="auto"/>
        <w:ind w:left="714" w:right="-285" w:hanging="357"/>
      </w:pPr>
      <w:hyperlink r:id="rId14" w:history="1">
        <w:r w:rsidR="00C7085E" w:rsidRPr="00796B4E">
          <w:t>Orden 3619/2005, de 24 de junio</w:t>
        </w:r>
      </w:hyperlink>
      <w:r w:rsidR="00C7085E" w:rsidRPr="00796B4E">
        <w:t>, de la Consejería de Economía e Innovación Tecnológica, por la que se establece el procedimiento para el Registro de Instalaciones de Prevención y Extinción contra Incendios (BOCM de 22 de septiembre de 2005)</w:t>
      </w:r>
    </w:p>
    <w:p w:rsidR="00C7085E" w:rsidRPr="00796B4E" w:rsidRDefault="00C7085E" w:rsidP="00B71B1A">
      <w:pPr>
        <w:widowControl/>
        <w:numPr>
          <w:ilvl w:val="0"/>
          <w:numId w:val="8"/>
        </w:numPr>
        <w:suppressAutoHyphens/>
        <w:autoSpaceDE/>
        <w:autoSpaceDN/>
        <w:adjustRightInd/>
        <w:spacing w:before="120" w:after="240" w:line="276" w:lineRule="auto"/>
        <w:ind w:left="714" w:right="-285" w:hanging="357"/>
      </w:pPr>
      <w:r w:rsidRPr="00796B4E">
        <w:t>Orden de 27 de mayo de 2009, de simplificación administrativa por la que se regula el registro de puesta en servicio de las instalaciones de protección contra incendios en la Comunidad de Madrid (BOCM nº153, 30 de junio de 2009).</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rsidRPr="00796B4E">
        <w:t>Orden de 12 de marzo de 2014, de la Consejería de Economía y Hacienda, por la que se establece el procedimiento para el registro de puesta en servicio de las instalaciones de protección contra incendios en establecimientos no industriales en la Comunidad de Madrid (BOCM nº120, 22 de mayo de 2014).</w:t>
      </w:r>
    </w:p>
    <w:p w:rsidR="00DF30E5" w:rsidRPr="00796B4E" w:rsidRDefault="00DF30E5" w:rsidP="00DF30E5">
      <w:pPr>
        <w:widowControl/>
        <w:suppressAutoHyphens/>
        <w:autoSpaceDE/>
        <w:autoSpaceDN/>
        <w:adjustRightInd/>
        <w:spacing w:before="120" w:after="240" w:line="276" w:lineRule="auto"/>
        <w:ind w:left="714" w:right="-285"/>
      </w:pPr>
    </w:p>
    <w:p w:rsidR="00C7085E" w:rsidRDefault="00C7085E" w:rsidP="00B71B1A">
      <w:pPr>
        <w:spacing w:before="120" w:after="240" w:line="276" w:lineRule="auto"/>
        <w:ind w:right="-285"/>
        <w:rPr>
          <w:b/>
          <w:u w:val="single"/>
          <w:lang w:val="es-ES_tradnl"/>
        </w:rPr>
      </w:pPr>
      <w:r>
        <w:rPr>
          <w:b/>
          <w:u w:val="single"/>
        </w:rPr>
        <w:lastRenderedPageBreak/>
        <w:t>Normativa de carreteras y viales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2387/2004, de 30 de diciembre, por el que se aprueba el Reglamento del Sector Ferroviario. (BOE nº315, de 31 de diciembre de 2004).</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39/2003, de 17 de noviembre, del Sector Ferroviario. (BOE nº276, de 18 de noviembre de 2003)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1812/1994, de 2 de septiembre, por el que se aprueba el Reglamento General de Carreteras. (BOE nº228, de 23 de septiembre de 1994)</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Decreto 29/1993, de 11 de marzo, por el que se aprueba el Reglamento de la Ley de Carreteras de la Comunidad de Madrid. (BOCM nº87, 14 de abril de 1993)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3/1991 de Carreteras de la Comunidad de Madrid (BOCM nº68 de 21 de marzo de 1991 y BOE nº127 de 28 de mayo de 1991) y el Decreto 29/1993 por el que se aprueba el Reglamento de Carreteras de la Comunidad de Madrid (BOCM de 14 de abril de 1993).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25/1988 de 29 de julio, de Carreteras (BOE nº 182, de 30 de julio de 1998) y el Real Decreto 1812/1994 por el que se aprueba el Reglamento General de Carreteras (BOE nº228, de 23 de septiembre de 1994).</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Orden Ministerial de 6 de febrero de 1976, por la que se aprueba el Pliego de Prescripciones Técnicas Generales para Obras de Carreteras y Puentes (PG-3/1975), con las modificaciones posteriores.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Instrucción de Carreteras, y sus diferentes normas. Concretamente:</w:t>
      </w:r>
    </w:p>
    <w:p w:rsidR="00C7085E" w:rsidRDefault="00C7085E" w:rsidP="00B71B1A">
      <w:pPr>
        <w:widowControl/>
        <w:numPr>
          <w:ilvl w:val="1"/>
          <w:numId w:val="8"/>
        </w:numPr>
        <w:suppressAutoHyphens/>
        <w:autoSpaceDE/>
        <w:autoSpaceDN/>
        <w:adjustRightInd/>
        <w:spacing w:before="120" w:after="240" w:line="276" w:lineRule="auto"/>
        <w:ind w:right="-285"/>
      </w:pPr>
      <w:r>
        <w:t>Orden de 27 de diciembre de 1999 por la que se aprueba la norma 3.1-IC Trazado, de la Instrucción de Carreteras (BOE nº28, de 2 de febrero de 2000).</w:t>
      </w:r>
    </w:p>
    <w:p w:rsidR="00C7085E" w:rsidRDefault="00C7085E" w:rsidP="00B71B1A">
      <w:pPr>
        <w:widowControl/>
        <w:numPr>
          <w:ilvl w:val="1"/>
          <w:numId w:val="8"/>
        </w:numPr>
        <w:suppressAutoHyphens/>
        <w:autoSpaceDE/>
        <w:autoSpaceDN/>
        <w:adjustRightInd/>
        <w:spacing w:before="120" w:after="240" w:line="276" w:lineRule="auto"/>
        <w:ind w:right="-285"/>
      </w:pPr>
      <w:r>
        <w:t>Orden FOM/3460/2003, de 28 de noviembre, por la que se aprueba la norma 6.1-IC Secciones de Firme, de la Instrucción de Carreteras (BOE nº297 de 12 de diciembre de 2003).</w:t>
      </w:r>
    </w:p>
    <w:p w:rsidR="00C7085E" w:rsidRDefault="00C7085E" w:rsidP="00B71B1A">
      <w:pPr>
        <w:widowControl/>
        <w:numPr>
          <w:ilvl w:val="1"/>
          <w:numId w:val="8"/>
        </w:numPr>
        <w:suppressAutoHyphens/>
        <w:autoSpaceDE/>
        <w:autoSpaceDN/>
        <w:adjustRightInd/>
        <w:spacing w:before="120" w:after="240" w:line="276" w:lineRule="auto"/>
        <w:ind w:right="-285"/>
      </w:pPr>
      <w:r>
        <w:t>Orden de 31 de agosto de 1987 por la que se aprueba la norma 8.3-IC Señalización, balizamiento, defensa, limpieza y terminación de obras fijas fuera de poblado (BOE nº224, de 18 de septiembre de 1987).</w:t>
      </w:r>
    </w:p>
    <w:p w:rsidR="00C7085E" w:rsidRDefault="00C7085E" w:rsidP="00B71B1A">
      <w:pPr>
        <w:spacing w:before="120" w:after="240" w:line="276" w:lineRule="auto"/>
        <w:ind w:right="-285"/>
        <w:rPr>
          <w:b/>
          <w:u w:val="single"/>
        </w:rPr>
      </w:pPr>
      <w:r>
        <w:rPr>
          <w:b/>
          <w:u w:val="single"/>
        </w:rPr>
        <w:t>Legislación eléctrica</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24/2013, de 26 de diciembre, del Sector Eléctrico. (BOE nº310, de 27 de diciembre de 2013.)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 xml:space="preserve">Real Decreto 1048/2013, de 27 de diciembre, por el que se establece la metodología para el cálculo de la retribución de la actividad de distribución de energía eléctrica. </w:t>
      </w:r>
      <w:r>
        <w:lastRenderedPageBreak/>
        <w:t>(BOE nº312 de 30 de Diciembre de 2013) (</w:t>
      </w:r>
      <w:r>
        <w:rPr>
          <w:i/>
        </w:rPr>
        <w:t>Deroga al Real Decreto 222/2008, de 15 de febrero, excepto la disposición adicional 4</w:t>
      </w:r>
      <w:r>
        <w:t>).</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1699/2011, de 18 de noviembre, por el que se regula la conexión a red de instalaciones de producción de energía eléctrica de pequeña potencia. (</w:t>
      </w:r>
      <w:r>
        <w:rPr>
          <w:i/>
        </w:rPr>
        <w:t>Corrección de errores en BOE nº36, de 11 de febrero de 2012</w:t>
      </w:r>
      <w:r>
        <w:t>)</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223/2008 de 15 de febrero por el que se aprueba el Reglamento sobre Condiciones Técnicas y Garantía de Seguridad en Líneas Eléctricas de Alta Tensión y sus Instrucciones Técnicas Complementarias ITC-LAT 01 a 09 (BOE nº68, de 19 de marzo de 2008), (El Real Decreto 560/2010 de 7 de mayo modifica los artículos 13.1, 16, 19 y la ITC-LAT 03 y añade las disposiciones adicionales 1 a 4).</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1890/2008 de 14 de noviembre por el que se aprueba el Reglamento de Eficiencia Energética en instalaciones de alumbrado exterior, y sus instrucciones técnicas complementarias EA-01 a EA-07 (BOE nº279, de 19 de noviembre de 2008).</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842/2002, de 2 de agosto, por el que se aprueba el Reglamento Electrotécnico para Baja Tensión y sus instrucciones técnicas complementarias. (BOE nº224 de 18 de septiembre de 2002) y modificaciones posteriores recogidas en el Real Decreto 560/2010, de 7 de mayo.</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Decreto 38/2002, de 28 de febrero, por el que se regulan las  entidades de control reglamentario de las instalaciones industriales de la Comunidad de Madrid (BOCM nº61, de 13 de marzo de 2002).</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1955/2000 por el que se regula las actividades de transporte, distribución, comercialización, suministros y procedimientos de autorización de instalaciones de energía eléctrica (BOE nº310 de 27 de diciembre de 2000) y Reales Decretos posteriores que complementan, modifican y/o derogan sus artículos.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Decreto 40/1998, de 5 de Marzo, por el que se establecen norma técnicas en instalaciones eléctricas para la protección de la avifauna (BOCM nº71 de 25 de marzo de 1998).</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Decreto 131/1997, de 16 de octubre, por el que se fijan los requisitos que se han de cumplir las actuaciones urbanísticas en relación con las infraestructuras eléctricas. (BOCM nº255 de 27 de octubre de 1997).</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Normas UNESA sobre dimensionamiento de redes de tierra de centros de transformación de tercera categoría.</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1254/1999, de 16 de julio, por el que se aprueban medidas de control de los riesgos inherentes a los accidentes graves en los que intervengan sustancias peligrosas y Reales Decretos posteriores que modifican alguno de sus artículos (BOE nº172, de 20 de julio de 1999).</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lastRenderedPageBreak/>
        <w:t>Real Decreto 3275/1982, de 12 de noviembre, sobre Condiciones Técnicas y Garantías de Seguridad en Centrales Eléctricas, Subestaciones y Centros de Transformación. (BOE nº288, de 1 de diciembre de 1982).</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Orden de 6 de julio de 1984, por la que se aprueban las Instrucciones Técnicas Complementarias del Reglamento sobre Condiciones Técnicas y Garantías de Seguridad en Centrales Eléctricas, Subestaciones y Centros de Transformación (BOE nº183, de 1 de agosto de 1984) y Órdenes posteriores vigentes que las complementan, actualizan y/o modifican.</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1110/2007, de 24 de agosto, por el que se aprueba el Reglamento unificado de puntos de medida del sistema eléctrico (BOE nº224, de 18 de septiembre de 2007).</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Orden 12 de abril de 1999, por la que se dictan las instrucciones técnicas complementarias al Reglamento de Puntos de Medida de los Consumos y Tránsitos de Energía Eléctrica (BOE nº95, de 21 de abril de 1999).</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337/2014, de 9 de mayo, por el que se aprueban el Reglamento sobre condiciones técnicas y garantías de seguridad en instalaciones eléctricas de alta tensión y sus Instrucciones Técnicas Complementarias ITC-RAT 01 a 23 (BOE nº139, de 9 de junio de 2014).</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Normativa y especificaciones particulares de las compañías suministradoras de energía eléctrica.</w:t>
      </w:r>
    </w:p>
    <w:p w:rsidR="00C7085E" w:rsidRDefault="00C7085E" w:rsidP="00B71B1A">
      <w:pPr>
        <w:spacing w:before="120" w:after="240" w:line="276" w:lineRule="auto"/>
        <w:ind w:right="-285"/>
        <w:rPr>
          <w:b/>
          <w:u w:val="single"/>
        </w:rPr>
      </w:pPr>
      <w:r>
        <w:rPr>
          <w:b/>
          <w:u w:val="single"/>
        </w:rPr>
        <w:t>Legislación de Seguridad y Salud</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31/1995, de 8 de Noviembre, de Prevención de Riesgos Laborales. (BOE nº269 de 10 de noviembre de 1995), y los Reales Decretos que la complementan.</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Ley 54/2003, de 12 de diciembre, de reforma del marco normativo de la prevención de riesgos laborales (BOE nº298 del 13 de diciembre de 2003).</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1627/1997, de 24 de octubre, por el que se establecen las disposiciones mínimas de seguridad y salud en las obras de construcción. (BOE nº257 de 25 de octubre de 1997) y Reales Decretos posteriores que modifican, añaden y/o derogan alguno de sus artículos.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Real Decreto 337/2010, de 19 de marzo, por el que se modifican el Real Decreto 39/1997, de 17 de enero, por el que se aprueba el Reglamento de los Servicios de Prevención; el Real Decreto 1109/2007, de 24 de agosto, por el que se desarrolla la Ley 32/2006, de 18 de octubre, reguladora de la subcontratación en el sector de la construcción y el Real Decreto 1627/1997, de 24 de octubre, por el que se establecen disposiciones mínimas de seguridad y salud en obras de construcción (BOE nº71, de 23 de marzo de 2010).</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lastRenderedPageBreak/>
        <w:t>Real Decreto 486/1997, de 14 de abril, por el que se establecen las disposiciones mínimas de seguridad y salud en los lugares de trabajo (BOE nº97, de 23 de abril de 1997).</w:t>
      </w:r>
    </w:p>
    <w:p w:rsidR="00C7085E" w:rsidRDefault="00C7085E" w:rsidP="00B71B1A">
      <w:pPr>
        <w:spacing w:before="120" w:after="240" w:line="276" w:lineRule="auto"/>
        <w:ind w:right="-285"/>
        <w:rPr>
          <w:b/>
          <w:u w:val="single"/>
        </w:rPr>
      </w:pPr>
      <w:r>
        <w:rPr>
          <w:b/>
          <w:u w:val="single"/>
        </w:rPr>
        <w:t>Otra documentación de referencia</w:t>
      </w:r>
    </w:p>
    <w:p w:rsidR="00C7085E" w:rsidRDefault="00C7085E" w:rsidP="00B71B1A">
      <w:pPr>
        <w:widowControl/>
        <w:numPr>
          <w:ilvl w:val="0"/>
          <w:numId w:val="8"/>
        </w:numPr>
        <w:autoSpaceDE/>
        <w:autoSpaceDN/>
        <w:adjustRightInd/>
        <w:spacing w:before="120" w:after="240" w:line="276" w:lineRule="auto"/>
        <w:ind w:left="714" w:right="-285" w:hanging="357"/>
      </w:pPr>
      <w:r>
        <w:t>RD 140/2003, de 7 de febrero, por el que se establecen los criterios sanitarios de la calidad del agua de consumo humano</w:t>
      </w:r>
    </w:p>
    <w:p w:rsidR="00C7085E" w:rsidRDefault="00C7085E" w:rsidP="00B71B1A">
      <w:pPr>
        <w:widowControl/>
        <w:numPr>
          <w:ilvl w:val="0"/>
          <w:numId w:val="8"/>
        </w:numPr>
        <w:autoSpaceDE/>
        <w:autoSpaceDN/>
        <w:adjustRightInd/>
        <w:spacing w:before="120" w:after="240" w:line="276" w:lineRule="auto"/>
        <w:ind w:left="714" w:right="-285" w:hanging="357"/>
      </w:pPr>
      <w:r>
        <w:t>Reglamento 305/2011 de la Unión Europea por el que se establecen las condiciones armonizadas para la comercialización de productos de construcción</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Guía técnica sobre Depósitos para Abastecimiento de agua potable. CEDEX. 2009.</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Guía técnica sobre Redes de Saneamiento y Drenaje Urbano. CEDEX. 2007.</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Guía técnica sobre tuberías para el transporte de agua a presión. CEDEX 2006.</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Instrucción del Instituto Eduardo Torroja para tubos de hormigón armado o pretensado (IET). Instituto de Ciencias de la Construcción Eduardo Torroja. Madrid 2007.</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 xml:space="preserve">Recomendaciones del I.E.T.C.C. para la fabricación, transporte y montaje de tubos de hormigón en masa. </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Manual de ATHA sobre cálculo, diseño e instalación de tubos de hormigón armado.</w:t>
      </w:r>
    </w:p>
    <w:p w:rsidR="00C7085E" w:rsidRDefault="00C7085E" w:rsidP="00B71B1A">
      <w:pPr>
        <w:spacing w:before="120" w:after="240" w:line="276" w:lineRule="auto"/>
        <w:ind w:right="-285"/>
        <w:rPr>
          <w:b/>
          <w:u w:val="single"/>
        </w:rPr>
      </w:pPr>
      <w:r>
        <w:rPr>
          <w:b/>
          <w:u w:val="single"/>
        </w:rPr>
        <w:t>Normas técnicas</w:t>
      </w:r>
    </w:p>
    <w:p w:rsidR="00C7085E" w:rsidRDefault="00C7085E" w:rsidP="00B71B1A">
      <w:pPr>
        <w:widowControl/>
        <w:numPr>
          <w:ilvl w:val="0"/>
          <w:numId w:val="8"/>
        </w:numPr>
        <w:suppressAutoHyphens/>
        <w:autoSpaceDE/>
        <w:autoSpaceDN/>
        <w:adjustRightInd/>
        <w:spacing w:before="120" w:after="240" w:line="276" w:lineRule="auto"/>
        <w:ind w:left="714" w:right="-285" w:hanging="357"/>
      </w:pPr>
      <w:r>
        <w:t>Normas UNE.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096"/>
      </w:tblGrid>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7074: 1954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Determinación de la adherencia y de la coherencia de los materiales bituminosos.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7133: 1958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Determinación de terrones de arcilla en áridos para la fabricación de morteros y hormigones.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7368: 1977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Determinación con agua oxigenada del contenido de materia orgánica en los suelos.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21123: 2010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Cables eléctricos de utilización industrial de tensión asignada 0,6/1 kV. Parte 2: Cables con aislamiento de polietileno reticulado y cubierta de policloruro de vinilo.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21428: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Transformadores trifásicos de distribución sumergidos en aceite, 50 Hz, de 50 kVA a 2 500 kVA con tensión más </w:t>
            </w:r>
            <w:r>
              <w:rPr>
                <w:szCs w:val="22"/>
              </w:rPr>
              <w:lastRenderedPageBreak/>
              <w:t>elevada para el material hasta 36 kV. Parte 1: Requisitos generales. Complemento nacional.</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UNE   36068: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Barras corrugadas de acero soldable para uso estructural en armaduras de hormigón armado.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rFonts w:cs="Arial"/>
                <w:color w:val="000000"/>
                <w:szCs w:val="22"/>
              </w:rPr>
            </w:pPr>
            <w:r>
              <w:rPr>
                <w:szCs w:val="22"/>
              </w:rPr>
              <w:t>UNE   36092: 2014</w:t>
            </w:r>
          </w:p>
        </w:tc>
        <w:tc>
          <w:tcPr>
            <w:tcW w:w="6096" w:type="dxa"/>
            <w:tcBorders>
              <w:top w:val="nil"/>
              <w:left w:val="nil"/>
              <w:bottom w:val="nil"/>
              <w:right w:val="nil"/>
            </w:tcBorders>
            <w:hideMark/>
          </w:tcPr>
          <w:p w:rsidR="00C7085E" w:rsidRDefault="00C7085E" w:rsidP="00360671">
            <w:pPr>
              <w:spacing w:before="120" w:after="240" w:line="276" w:lineRule="auto"/>
              <w:rPr>
                <w:rFonts w:cs="Arial"/>
                <w:color w:val="000000"/>
                <w:szCs w:val="22"/>
              </w:rPr>
            </w:pPr>
            <w:r>
              <w:rPr>
                <w:szCs w:val="22"/>
              </w:rPr>
              <w:t>Mallas electrosoldadas de acero para uso estructural en armaduras de hormigón armado. Mallas electrosoldadas fabricadas con alambres de acero B 500 T.</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36094: 1997</w:t>
            </w:r>
          </w:p>
        </w:tc>
        <w:tc>
          <w:tcPr>
            <w:tcW w:w="6096" w:type="dxa"/>
            <w:tcBorders>
              <w:top w:val="nil"/>
              <w:left w:val="nil"/>
              <w:bottom w:val="nil"/>
              <w:right w:val="nil"/>
            </w:tcBorders>
            <w:hideMark/>
          </w:tcPr>
          <w:p w:rsidR="00C7085E" w:rsidRDefault="00C7085E" w:rsidP="00360671">
            <w:pPr>
              <w:spacing w:before="120" w:after="240" w:line="276" w:lineRule="auto"/>
              <w:rPr>
                <w:rFonts w:ascii="ArialMT" w:hAnsi="ArialMT" w:cs="ArialMT"/>
                <w:i/>
                <w:szCs w:val="22"/>
              </w:rPr>
            </w:pPr>
            <w:r>
              <w:rPr>
                <w:szCs w:val="22"/>
              </w:rPr>
              <w:t>Alambres y cordones de acero para armaduras de hormigón pretensado.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36831: 1997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Armaduras pasivas de acero para hormigón estructural. Corte, doblado y colocación de barras y mallas. Tolerancias. Formas preferentes de armado.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38001: 1985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Clasificación y designación de las aleaciones ligeras.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38002/1M: 1984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Definición y designación del estado de tratamiento de las aleaciones ligeras.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53394: 2006 IN</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Plásticos. Código de instalación y manejo de tubos de polietileno (PE) para conducción de agua a presión. Técnicas recomendadas.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56801: 2008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Unidad de hueco de puerta de madera. Terminología, definiciones y clasificación.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56803: 2000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Hojas de puerta. Especificaciones complementarias.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67027: 1984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Ladrillos de arcilla cocida. Determinación de la absorción de agua.</w:t>
            </w:r>
          </w:p>
        </w:tc>
      </w:tr>
      <w:tr w:rsidR="00C7085E" w:rsidTr="00C7085E">
        <w:tc>
          <w:tcPr>
            <w:tcW w:w="2943"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UNE   67028: 1997 EX</w:t>
            </w:r>
          </w:p>
        </w:tc>
        <w:tc>
          <w:tcPr>
            <w:tcW w:w="6096"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Ladrillos cerámicos de arcilla cocida. Ensayo de heladicidad.</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67029. 1995 EX</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Ladrillos cerámicos de arcilla cocida. Ensayo de eflorescencia.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67030: 1985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Ladrillos de arcilla cocida. Medición de las dimensiones y comprobación de la forma.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UNE   68072: 1986</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Material de riego. Aspersores rotativos. Requisitos generales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80305: 2012</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Cementos blancos.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83951: 2008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Durabilidad del hormigón. Aguas de amasado y aguas agresivas. Toma de muestras.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102042: 2014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Yesos y escayolas de construcción. Otros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103101: 1995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Análisis granulométrico de suelos por tamizado.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103103: 1994</w:t>
            </w:r>
          </w:p>
        </w:tc>
        <w:tc>
          <w:tcPr>
            <w:tcW w:w="6096" w:type="dxa"/>
            <w:tcBorders>
              <w:top w:val="nil"/>
              <w:left w:val="nil"/>
              <w:bottom w:val="nil"/>
              <w:right w:val="nil"/>
            </w:tcBorders>
            <w:vAlign w:val="center"/>
            <w:hideMark/>
          </w:tcPr>
          <w:p w:rsidR="00C7085E" w:rsidRDefault="00C7085E" w:rsidP="00360671">
            <w:pPr>
              <w:spacing w:before="120" w:after="240" w:line="276" w:lineRule="auto"/>
              <w:rPr>
                <w:szCs w:val="22"/>
              </w:rPr>
            </w:pPr>
            <w:r>
              <w:rPr>
                <w:szCs w:val="22"/>
              </w:rPr>
              <w:t>Determinación del límite liquido de un suelo por el método del aparato de Casagrande.</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103104: 1994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Determinación del límite plástico de un suelo.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103105: 1993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Determinación de la densidad máxima de una arena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103106: 1993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Determinación de la densidad máxima de una arena por el método de apisonado.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103109: 1995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Método de ensayo para determinar el índice "equivalente de arena" de un suelo.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103201: 1996</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Determinación cuantitativa del contenido en sulfatos solubles de un suelo.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103202: 1995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Determinación cualitativa del contenido en sulfatos solubles de un suelo.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103300: 1993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Determinación de la humedad de un suelo mediante secado en estufa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103500: 1994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Geotecnia. Ensayo de compactación. Proctor normal.</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103501: 1994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Geotecnia. Ensayo de compactación. Proctor modificado.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103502: 1995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Método de ensayo para determinar en laboratorio el índice C.B.R. de un suelo.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UNE 103503: 1995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Determinación "in situ" de la densidad de un suelo por el método de la arena.</w:t>
            </w:r>
          </w:p>
        </w:tc>
      </w:tr>
      <w:tr w:rsidR="00C7085E" w:rsidTr="00C7085E">
        <w:tc>
          <w:tcPr>
            <w:tcW w:w="2943"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UNE 127339: 2012</w:t>
            </w:r>
          </w:p>
        </w:tc>
        <w:tc>
          <w:tcPr>
            <w:tcW w:w="6096"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Propiedades y condiciones de suministro y recepción de las baldosas de hormigón. </w:t>
            </w:r>
          </w:p>
        </w:tc>
      </w:tr>
      <w:tr w:rsidR="00C7085E" w:rsidTr="00C7085E">
        <w:tc>
          <w:tcPr>
            <w:tcW w:w="2943"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UNE 127340: 2006</w:t>
            </w:r>
          </w:p>
        </w:tc>
        <w:tc>
          <w:tcPr>
            <w:tcW w:w="6096"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Bordillos prefabricados de hormigón. Especificaciones y métodos de ensayo. Complemento nacional a la Norma UNE-EN 1340.</w:t>
            </w:r>
          </w:p>
        </w:tc>
      </w:tr>
      <w:tr w:rsidR="00C7085E" w:rsidTr="00C7085E">
        <w:tc>
          <w:tcPr>
            <w:tcW w:w="2943"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UNE 127916: 2014</w:t>
            </w:r>
          </w:p>
        </w:tc>
        <w:tc>
          <w:tcPr>
            <w:tcW w:w="6096"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Tubos y piezas complementarias de hormigón en masa, de hormigón armado y hormigón con fibra de acero. Complemento nacional a la UNE-EN 1916.</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127917: 2015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Pozos de registro y cámaras de inspección de hormigón en masa, de hormigón con fibra de acero y de hormigón armado. Complemento nacional a la Norma UNE-EN 1917. </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211006: 2010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Ensayos previos a la puesta en servicio de sistemas de cables eléctricos de alta tensión en corriente alterna.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 53394: 2006 IN</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Plásticos. Código de instalación y manejo de tubos de polietileno (PE) para conducción de agua a presión. Técnicas recomendadas.</w:t>
            </w:r>
          </w:p>
        </w:tc>
      </w:tr>
    </w:tbl>
    <w:p w:rsidR="00C7085E" w:rsidRDefault="00C7085E" w:rsidP="00360671">
      <w:pPr>
        <w:widowControl/>
        <w:numPr>
          <w:ilvl w:val="0"/>
          <w:numId w:val="8"/>
        </w:numPr>
        <w:suppressAutoHyphens/>
        <w:autoSpaceDE/>
        <w:autoSpaceDN/>
        <w:adjustRightInd/>
        <w:spacing w:before="120" w:after="240" w:line="276" w:lineRule="auto"/>
        <w:ind w:left="714" w:hanging="357"/>
        <w:rPr>
          <w:lang w:val="es-ES_tradnl" w:eastAsia="es-ES_tradnl"/>
        </w:rPr>
      </w:pPr>
      <w:r>
        <w:t>Normas UNE-EN</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096"/>
      </w:tblGrid>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124: 1995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Dispositivos de cubrimiento y de cierre para zonas de circulación utilizadas por peatones y vehículos. Principios de construcción, ensayos de tipo, marcado, control de calidad.</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287: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Cualificación de soldadores. Soldeo por fusión. Parte 1: Aceros.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UNE-EN     295: 2013 </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Sistemas de tuberías de gres para saneamiento. </w:t>
            </w:r>
          </w:p>
          <w:p w:rsidR="00C7085E" w:rsidRDefault="00C7085E" w:rsidP="00360671">
            <w:pPr>
              <w:spacing w:before="120" w:after="240" w:line="276" w:lineRule="auto"/>
              <w:rPr>
                <w:szCs w:val="22"/>
              </w:rPr>
            </w:pPr>
            <w:r>
              <w:rPr>
                <w:szCs w:val="22"/>
              </w:rPr>
              <w:t>Parte1. Requisitos para tuberías, accesorios y uniones.</w:t>
            </w:r>
          </w:p>
          <w:p w:rsidR="00C7085E" w:rsidRDefault="00C7085E" w:rsidP="00360671">
            <w:pPr>
              <w:spacing w:before="120" w:after="240" w:line="276" w:lineRule="auto"/>
              <w:rPr>
                <w:szCs w:val="22"/>
              </w:rPr>
            </w:pPr>
            <w:r>
              <w:rPr>
                <w:szCs w:val="22"/>
              </w:rPr>
              <w:t>Parte 2. Evaluación de la conformidad y muestreo.</w:t>
            </w:r>
          </w:p>
          <w:p w:rsidR="00C7085E" w:rsidRDefault="00C7085E" w:rsidP="00360671">
            <w:pPr>
              <w:spacing w:before="120" w:after="240" w:line="276" w:lineRule="auto"/>
              <w:rPr>
                <w:szCs w:val="22"/>
              </w:rPr>
            </w:pPr>
            <w:r>
              <w:rPr>
                <w:szCs w:val="22"/>
              </w:rPr>
              <w:t>Parte 3. Métodos de ensayo.</w:t>
            </w:r>
          </w:p>
          <w:p w:rsidR="00C7085E" w:rsidRDefault="00C7085E" w:rsidP="00360671">
            <w:pPr>
              <w:spacing w:before="120" w:after="240" w:line="276" w:lineRule="auto"/>
              <w:rPr>
                <w:szCs w:val="22"/>
              </w:rPr>
            </w:pPr>
            <w:r>
              <w:rPr>
                <w:szCs w:val="22"/>
              </w:rPr>
              <w:t xml:space="preserve">Parte 4. Requisitos para adaptadores, conectores y uniones </w:t>
            </w:r>
            <w:r>
              <w:rPr>
                <w:szCs w:val="22"/>
              </w:rPr>
              <w:lastRenderedPageBreak/>
              <w:t>flexibles.</w:t>
            </w:r>
          </w:p>
          <w:p w:rsidR="00C7085E" w:rsidRDefault="00C7085E" w:rsidP="00360671">
            <w:pPr>
              <w:spacing w:before="120" w:after="240" w:line="276" w:lineRule="auto"/>
              <w:rPr>
                <w:szCs w:val="22"/>
              </w:rPr>
            </w:pPr>
            <w:r>
              <w:rPr>
                <w:szCs w:val="22"/>
              </w:rPr>
              <w:t>Parte 5. Requisitos para tuberías perforadas y sus accesorios.</w:t>
            </w:r>
          </w:p>
          <w:p w:rsidR="00C7085E" w:rsidRDefault="00C7085E" w:rsidP="00360671">
            <w:pPr>
              <w:spacing w:before="120" w:after="240" w:line="276" w:lineRule="auto"/>
              <w:rPr>
                <w:szCs w:val="22"/>
              </w:rPr>
            </w:pPr>
            <w:r>
              <w:rPr>
                <w:szCs w:val="22"/>
              </w:rPr>
              <w:t>Parte 6. Requisitos para los componentes de las bocas de hombre y cámaras de inspección.</w:t>
            </w:r>
          </w:p>
          <w:p w:rsidR="00C7085E" w:rsidRDefault="00C7085E" w:rsidP="00360671">
            <w:pPr>
              <w:spacing w:before="120" w:after="240" w:line="276" w:lineRule="auto"/>
              <w:rPr>
                <w:szCs w:val="22"/>
              </w:rPr>
            </w:pPr>
            <w:r>
              <w:rPr>
                <w:szCs w:val="22"/>
              </w:rPr>
              <w:t>Parte 7. Requisitos para tuberías de gres y juntas para hinca.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UNE-EN     459: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Cales para la construcción. </w:t>
            </w:r>
          </w:p>
          <w:p w:rsidR="00C7085E" w:rsidRDefault="00C7085E" w:rsidP="00360671">
            <w:pPr>
              <w:spacing w:before="120" w:after="240" w:line="276" w:lineRule="auto"/>
              <w:rPr>
                <w:szCs w:val="22"/>
              </w:rPr>
            </w:pPr>
            <w:r>
              <w:rPr>
                <w:szCs w:val="22"/>
              </w:rPr>
              <w:t>Parte 1. Definiciones, especificaciones y criterios de conformidad.</w:t>
            </w:r>
          </w:p>
          <w:p w:rsidR="00C7085E" w:rsidRDefault="00C7085E" w:rsidP="00360671">
            <w:pPr>
              <w:spacing w:before="120" w:after="240" w:line="276" w:lineRule="auto"/>
              <w:rPr>
                <w:szCs w:val="22"/>
              </w:rPr>
            </w:pPr>
            <w:r>
              <w:rPr>
                <w:szCs w:val="22"/>
              </w:rPr>
              <w:t>Parte 2. Métodos de ensayo.</w:t>
            </w:r>
          </w:p>
          <w:p w:rsidR="00C7085E" w:rsidRDefault="00C7085E" w:rsidP="00360671">
            <w:pPr>
              <w:spacing w:before="120" w:after="240" w:line="276" w:lineRule="auto"/>
              <w:rPr>
                <w:szCs w:val="22"/>
              </w:rPr>
            </w:pPr>
            <w:r>
              <w:rPr>
                <w:szCs w:val="22"/>
              </w:rPr>
              <w:t>Parte 3. Evaluación de la conformidad.</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520:2005</w:t>
            </w:r>
          </w:p>
          <w:p w:rsidR="00C7085E" w:rsidRDefault="00C7085E" w:rsidP="00360671">
            <w:pPr>
              <w:spacing w:before="120" w:after="240" w:line="276" w:lineRule="auto"/>
              <w:rPr>
                <w:szCs w:val="22"/>
              </w:rPr>
            </w:pPr>
            <w:r>
              <w:rPr>
                <w:szCs w:val="22"/>
              </w:rPr>
              <w:t>+A1:2010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Placas de yeso laminado. Definiciones, especificaciones y métodos de ensayo.</w:t>
            </w:r>
          </w:p>
        </w:tc>
      </w:tr>
      <w:tr w:rsidR="00C7085E" w:rsidTr="00C7085E">
        <w:tc>
          <w:tcPr>
            <w:tcW w:w="2943"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UNE-EN     545: 2011</w:t>
            </w:r>
          </w:p>
        </w:tc>
        <w:tc>
          <w:tcPr>
            <w:tcW w:w="6096"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Tubos, racores y accesorios de fundición dúctil y sus uniones para canalizaciones de agua. Requisitos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598: 2008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Tuberías, accesorios y piezas especiales de fundición dúctil y sus uniones para aplicaciones de saneamiento. Requisitos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639: 1995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Prescripciones comunes para tubos de presión de hormigón incluyendo juntas y accesorios.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641: 1995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Tubos de presión de hormigón armado, con camisa de chapa, incluyendo juntas y accesorios.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642: 1995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Tubos de presión de hormigón pretensado, con y sin camisa de chapa, incluyendo juntas, accesorios y prescripciones particulares relativas al acero de pretensar para tubos.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681: 1996</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Juntas elastoméricas. Requisitos de los materiales para juntas de estanquidad de tuberías empleadas en </w:t>
            </w:r>
            <w:r>
              <w:rPr>
                <w:szCs w:val="22"/>
              </w:rPr>
              <w:lastRenderedPageBreak/>
              <w:t xml:space="preserve">canalizaciones de agua y en drenaje. </w:t>
            </w:r>
          </w:p>
          <w:p w:rsidR="00C7085E" w:rsidRDefault="00C7085E" w:rsidP="00360671">
            <w:pPr>
              <w:spacing w:before="120" w:after="240" w:line="276" w:lineRule="auto"/>
              <w:rPr>
                <w:szCs w:val="22"/>
              </w:rPr>
            </w:pPr>
            <w:r>
              <w:rPr>
                <w:szCs w:val="22"/>
              </w:rPr>
              <w:t>Parte 1. Caucho vulcanizado.</w:t>
            </w:r>
          </w:p>
          <w:p w:rsidR="00C7085E" w:rsidRDefault="00C7085E" w:rsidP="00360671">
            <w:pPr>
              <w:spacing w:before="120" w:after="240" w:line="276" w:lineRule="auto"/>
              <w:rPr>
                <w:szCs w:val="22"/>
              </w:rPr>
            </w:pPr>
            <w:r>
              <w:rPr>
                <w:szCs w:val="22"/>
              </w:rPr>
              <w:t>Parte 2. Elastómeros termoplásticos.</w:t>
            </w:r>
          </w:p>
          <w:p w:rsidR="00C7085E" w:rsidRDefault="00C7085E" w:rsidP="00360671">
            <w:pPr>
              <w:spacing w:before="120" w:after="240" w:line="276" w:lineRule="auto"/>
              <w:rPr>
                <w:szCs w:val="22"/>
              </w:rPr>
            </w:pPr>
            <w:r>
              <w:rPr>
                <w:szCs w:val="22"/>
              </w:rPr>
              <w:t>Parte 4. Elementos de estanqueidad de poliuretano moldeado.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 xml:space="preserve">UNE-EN     736: 1996: </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Válvulas. Terminología. </w:t>
            </w:r>
          </w:p>
        </w:tc>
      </w:tr>
      <w:tr w:rsidR="00C7085E" w:rsidTr="00C7085E">
        <w:tc>
          <w:tcPr>
            <w:tcW w:w="2943" w:type="dxa"/>
            <w:tcBorders>
              <w:top w:val="nil"/>
              <w:left w:val="nil"/>
              <w:bottom w:val="nil"/>
              <w:right w:val="nil"/>
            </w:tcBorders>
          </w:tcPr>
          <w:p w:rsidR="00C7085E" w:rsidRDefault="00C7085E" w:rsidP="00360671">
            <w:pPr>
              <w:spacing w:before="120" w:after="240" w:line="276" w:lineRule="auto"/>
              <w:rPr>
                <w:szCs w:val="22"/>
              </w:rPr>
            </w:pP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Parte 1: Definición de los tipos de válvulas.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746: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Equipos de tratamiento térmico industrial. </w:t>
            </w:r>
          </w:p>
          <w:p w:rsidR="00C7085E" w:rsidRDefault="00C7085E" w:rsidP="00360671">
            <w:pPr>
              <w:spacing w:before="120" w:after="240" w:line="276" w:lineRule="auto"/>
              <w:rPr>
                <w:szCs w:val="22"/>
              </w:rPr>
            </w:pPr>
            <w:r>
              <w:rPr>
                <w:szCs w:val="22"/>
              </w:rPr>
              <w:t>Parte 2: Requisitos de seguridad para la combustión y los sistemas de manejo de combustibles.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771: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Especificaciones de piezas para fábrica de albañilería. </w:t>
            </w:r>
          </w:p>
          <w:p w:rsidR="00C7085E" w:rsidRDefault="00C7085E" w:rsidP="00360671">
            <w:pPr>
              <w:spacing w:before="120" w:after="240" w:line="276" w:lineRule="auto"/>
              <w:rPr>
                <w:szCs w:val="22"/>
              </w:rPr>
            </w:pPr>
            <w:r>
              <w:rPr>
                <w:szCs w:val="22"/>
              </w:rPr>
              <w:t>Parte 3: Bloques de hormigón (áridos densos y ligeros).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772: 2001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Métodos de ensayo de piezas para fábrica de albañilería.</w:t>
            </w:r>
          </w:p>
        </w:tc>
      </w:tr>
      <w:tr w:rsidR="00C7085E" w:rsidTr="00C7085E">
        <w:tc>
          <w:tcPr>
            <w:tcW w:w="2943" w:type="dxa"/>
            <w:tcBorders>
              <w:top w:val="nil"/>
              <w:left w:val="nil"/>
              <w:bottom w:val="nil"/>
              <w:right w:val="nil"/>
            </w:tcBorders>
          </w:tcPr>
          <w:p w:rsidR="00C7085E" w:rsidRDefault="00C7085E" w:rsidP="00360671">
            <w:pPr>
              <w:spacing w:before="120" w:after="240" w:line="276" w:lineRule="auto"/>
              <w:rPr>
                <w:szCs w:val="22"/>
              </w:rPr>
            </w:pP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Parte 1: Determinación de la resistencia a compresión.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772: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Métodos de ensayo de piezas para fábrica de albañilería. </w:t>
            </w:r>
          </w:p>
          <w:p w:rsidR="00C7085E" w:rsidRDefault="00C7085E" w:rsidP="00360671">
            <w:pPr>
              <w:spacing w:before="120" w:after="240" w:line="276" w:lineRule="auto"/>
              <w:rPr>
                <w:szCs w:val="22"/>
              </w:rPr>
            </w:pPr>
            <w:r>
              <w:rPr>
                <w:szCs w:val="22"/>
              </w:rPr>
              <w:t>Parte 11: Determinación de la absorción de agua por capilaridad de piezas para fábrica de albañilería, en hormigón, piedra natural y artificial, y de la tasa de absorción de agua inicial de las piezas de arcilla cocida para fábrica de albañilería.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805: 2000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Abastecimiento de agua. Especificaciones para redes exteriores a los edificios y sus componentes.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809: 2010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Bombas y grupos motobombas para líquidos. Requisitos comunes de seguridad.</w:t>
            </w:r>
          </w:p>
        </w:tc>
      </w:tr>
      <w:tr w:rsidR="00C7085E" w:rsidTr="00C7085E">
        <w:tc>
          <w:tcPr>
            <w:tcW w:w="2943"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lastRenderedPageBreak/>
              <w:t>UNE-EN     933: 2012</w:t>
            </w:r>
          </w:p>
        </w:tc>
        <w:tc>
          <w:tcPr>
            <w:tcW w:w="6096"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Ensayos para determinar las propiedades geométricas de los áridos. Parte 1: Determinación de la granulometría de las partículas. Método del tamizado.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933: 1999</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Ensayos para determinar las propiedades geométricas de los áridos. Parte 5: Determinación del porcentaje de caras de fractura de las partículas de árido grueso.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951: 1999</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Hojas de puerta. Método de medida de la altura, anchura, espesor y escuadría.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952: 2000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Hojas de puerta. Planitud general y local. Método de medida.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998: 2012</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Especificaciones de los morteros para albañilería. Parte 1: Morteros para revoco y enlucido.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1074:2001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Válvulas para el suministro de agua. Requisitos de aptitud al uso y ensayos de verificación apropiados. Parte 1: Requisitos generales.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1092: 2008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Bridas y sus uniones. Bridas circulares para tuberías, grifería, accesorios y piezas especiales, designación PN. Parte 1: Bridas de acero.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1097: 2010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Ensayos para determinar las propiedades mecánicas y físicas de los áridos. Parte 2: Métodos para la determinación de la resistencia a la fragmentación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1097: 2009</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Ensayos para determinar las propiedades mecánicas y físicas de los áridos. Parte 7: Determinación de la densidad real del filler. Método del picnómetro.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1097: 2010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Ensayos para determinar las propiedades mecánicas y físicas de los áridos. Parte 8: Determinación del coeficiente de pulimento acelerado</w:t>
            </w:r>
            <w:r>
              <w:rPr>
                <w:rFonts w:ascii="Verdana" w:hAnsi="Verdana"/>
                <w:color w:val="000000"/>
                <w:sz w:val="17"/>
                <w:szCs w:val="17"/>
                <w:shd w:val="clear" w:color="auto" w:fill="EDEDED"/>
              </w:rPr>
              <w:t>.</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1121 : 2000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Puertas. Comportamiento entre dos climas diferentes. Método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1338: 2004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Adoquines de hormigón. Especificaciones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UNE-EN    1339: 2004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Baldosas de hormigón. Especificaciones y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1340: 2004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Bordillos prefabricados de hormigón. Especificaciones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1341: 2013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Baldosas de piedra natural para uso como pavimento exterior. Requisitos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1342: 2003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Adoquines de piedra natural para uso como pavimento exterior. Requisitos y métodos de ensayo.</w:t>
            </w:r>
          </w:p>
        </w:tc>
      </w:tr>
      <w:tr w:rsidR="00C7085E" w:rsidTr="00C7085E">
        <w:tc>
          <w:tcPr>
            <w:tcW w:w="2943"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UNE-EN    1343: 2013</w:t>
            </w:r>
          </w:p>
        </w:tc>
        <w:tc>
          <w:tcPr>
            <w:tcW w:w="6096"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Bordillos de piedra natural para uso como pavimento exterior. Requisitos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1363: 2000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Ensayos de resistencia al fuego. Parte 2: Procedimientos alternativos y adicionales.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1412: 2003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Cobre y aleaciones de cobre. Sistema europeo de designación numérica.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1503: 2001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Válvulas. Materiales para los cuerpos, caperuzas y cubiertas.</w:t>
            </w:r>
          </w:p>
          <w:p w:rsidR="00C7085E" w:rsidRDefault="00C7085E" w:rsidP="00360671">
            <w:pPr>
              <w:spacing w:before="120" w:after="240" w:line="276" w:lineRule="auto"/>
              <w:rPr>
                <w:szCs w:val="22"/>
              </w:rPr>
            </w:pPr>
            <w:r>
              <w:rPr>
                <w:szCs w:val="22"/>
              </w:rPr>
              <w:t>Parte 1: Aceros especificados en las normas europeas.</w:t>
            </w:r>
          </w:p>
          <w:p w:rsidR="00C7085E" w:rsidRDefault="00C7085E" w:rsidP="00360671">
            <w:pPr>
              <w:spacing w:before="120" w:after="240" w:line="276" w:lineRule="auto"/>
              <w:rPr>
                <w:szCs w:val="22"/>
              </w:rPr>
            </w:pPr>
            <w:r>
              <w:rPr>
                <w:szCs w:val="22"/>
              </w:rPr>
              <w:t>Parte 2: Aceros distintos de los especificados en las normas europeas.</w:t>
            </w:r>
          </w:p>
          <w:p w:rsidR="00C7085E" w:rsidRDefault="00C7085E" w:rsidP="00360671">
            <w:pPr>
              <w:spacing w:before="120" w:after="240" w:line="276" w:lineRule="auto"/>
              <w:rPr>
                <w:szCs w:val="22"/>
              </w:rPr>
            </w:pPr>
            <w:r>
              <w:rPr>
                <w:szCs w:val="22"/>
              </w:rPr>
              <w:t>Parte 3. Fundiciones especificadas en las normas europeas.</w:t>
            </w:r>
          </w:p>
          <w:p w:rsidR="00C7085E" w:rsidRDefault="00C7085E" w:rsidP="00360671">
            <w:pPr>
              <w:spacing w:before="120" w:after="240" w:line="276" w:lineRule="auto"/>
              <w:rPr>
                <w:szCs w:val="22"/>
              </w:rPr>
            </w:pPr>
            <w:r>
              <w:rPr>
                <w:szCs w:val="22"/>
              </w:rPr>
              <w:t>Parte 4. Aleaciones de cobre especificadas en las normas europeas (2003).</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1536: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Ejecución de trabajos geotécnicos especiales. Pilotes perforados.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1538: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Ejecución de trabajos geotécnicos especiales. Muros-pantalla.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1563: 2012</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Fundición. Fundición de grafito esferoidal.</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1610: 1998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Instalación y pruebas de acometidas y redes de </w:t>
            </w:r>
            <w:r>
              <w:rPr>
                <w:szCs w:val="22"/>
              </w:rPr>
              <w:lastRenderedPageBreak/>
              <w:t>saneamiento.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UNE-EN    1796: 2014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Sistemas de canalización en materiales plásticos para suministro de agua con o sin presión. Plásticos termoestables reforzados con fibra de vidrio (PRFV) basados en resina de poliéster insaturada (UP).</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1916: 2008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Tubos y piezas complementarias de hormigón en masa, hormigón armado y hormigón con fibra de acero.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1917: 2008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Pozos de registro y cámaras de inspección de hormigón en masa, hormigón armado y hormigón con fibras de acero.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1925: 1999</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Métodos de ensayo para piedra natural. Determinación del coeficiente de absorción de agua por capilaridad.</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1926: 2007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Métodos de ensayo para la piedra natural. Determinación de la resistencia a la compresión uniaxial.</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1982: 2009</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Cobre y aleaciones de cobre. Lingotes y piezas fundidas.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10020: 2001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Definición y clasificación de los tipos de acero.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10025: 2006</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Productos laminados en caliente de aceros para estructuras. </w:t>
            </w:r>
          </w:p>
          <w:p w:rsidR="00C7085E" w:rsidRDefault="00C7085E" w:rsidP="00360671">
            <w:pPr>
              <w:spacing w:before="120" w:after="240" w:line="276" w:lineRule="auto"/>
              <w:rPr>
                <w:szCs w:val="22"/>
              </w:rPr>
            </w:pPr>
            <w:r>
              <w:rPr>
                <w:szCs w:val="22"/>
              </w:rPr>
              <w:t>Parte 1: Condiciones técnicas generales de suministro.</w:t>
            </w:r>
          </w:p>
          <w:p w:rsidR="00C7085E" w:rsidRDefault="00C7085E" w:rsidP="00360671">
            <w:pPr>
              <w:spacing w:before="120" w:after="240" w:line="276" w:lineRule="auto"/>
              <w:rPr>
                <w:szCs w:val="22"/>
              </w:rPr>
            </w:pPr>
            <w:r>
              <w:rPr>
                <w:szCs w:val="22"/>
              </w:rPr>
              <w:t>Parte 2: Condiciones técnicas de suministro de los aceros estructurales no aleados.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jc w:val="left"/>
              <w:rPr>
                <w:szCs w:val="22"/>
              </w:rPr>
            </w:pPr>
            <w:r>
              <w:rPr>
                <w:szCs w:val="22"/>
              </w:rPr>
              <w:t>UNE-EN 10028: 2007+A1:2009/AC:2010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Productos planos de acero para aplicaciones a presión. Parte 1: Prescripciones generales.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10028: 2010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Productos planos de acero para aplicaciones a presión. Parte 2: Aceros no aleados y aleados con propiedades especificadas a altas temperaturas.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10080: 2006</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Acero para el armado del hormigón. Acero soldable para armaduras de hormigón armado. Generalidades.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10088: 2006</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Aceros inoxidables.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UNE-EN  10210: 2007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Perfiles huecos para construcción, acabados en caliente, de acero no aleado y de grano fino.</w:t>
            </w:r>
          </w:p>
          <w:p w:rsidR="00C7085E" w:rsidRDefault="00C7085E" w:rsidP="00360671">
            <w:pPr>
              <w:spacing w:before="120" w:after="240" w:line="276" w:lineRule="auto"/>
              <w:rPr>
                <w:szCs w:val="22"/>
              </w:rPr>
            </w:pPr>
            <w:r>
              <w:rPr>
                <w:szCs w:val="22"/>
              </w:rPr>
              <w:t>Parte 1: Condiciones técnicas de suministro.</w:t>
            </w:r>
          </w:p>
          <w:p w:rsidR="00C7085E" w:rsidRDefault="00C7085E" w:rsidP="00360671">
            <w:pPr>
              <w:spacing w:before="120" w:after="240" w:line="276" w:lineRule="auto"/>
              <w:rPr>
                <w:szCs w:val="22"/>
              </w:rPr>
            </w:pPr>
            <w:r>
              <w:rPr>
                <w:szCs w:val="22"/>
              </w:rPr>
              <w:t>Parte 2: Tolerancias, dimensiones y propiedades de sección.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10217: 2006</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Tubos de acero soldados para usos a presión. Condiciones técnicas de suministro. Parte 7: Tubos de acero inoxidable.</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10219: 2007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Perfiles huecos para construcción, conformados en frío, de acero no aleado y de grano fino.</w:t>
            </w:r>
          </w:p>
          <w:p w:rsidR="00C7085E" w:rsidRDefault="00C7085E" w:rsidP="00360671">
            <w:pPr>
              <w:spacing w:before="120" w:after="240" w:line="276" w:lineRule="auto"/>
              <w:rPr>
                <w:szCs w:val="22"/>
              </w:rPr>
            </w:pPr>
            <w:r>
              <w:rPr>
                <w:szCs w:val="22"/>
              </w:rPr>
              <w:t>Parte 1: Condiciones técnicas de suministro.</w:t>
            </w:r>
          </w:p>
          <w:p w:rsidR="00C7085E" w:rsidRDefault="00C7085E" w:rsidP="00360671">
            <w:pPr>
              <w:spacing w:before="120" w:after="240" w:line="276" w:lineRule="auto"/>
              <w:rPr>
                <w:szCs w:val="22"/>
              </w:rPr>
            </w:pPr>
            <w:r>
              <w:rPr>
                <w:szCs w:val="22"/>
              </w:rPr>
              <w:t>Parte 2: Tolerancias, dimensiones y propiedades de sección.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10224: 2003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Tubos y accesorios en acero no aleado para el transporte de líquidos acuosos, incluido agua para consumo humano. Condiciones técnicas de suministro.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10311: 2006</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Uniones para la conexión de tubos de acero y sus accesorios para la conducción de agua y otros líquidos acuosos.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12165: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Cobre y aleaciones de cobre. Semiproductos de forja.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12201: 2012</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Sistemas de canalización en materiales plásticos para conducción de agua y saneamiento con presión. Polietileno (PE). </w:t>
            </w:r>
          </w:p>
          <w:p w:rsidR="00C7085E" w:rsidRDefault="00C7085E" w:rsidP="00360671">
            <w:pPr>
              <w:spacing w:before="120" w:after="240" w:line="276" w:lineRule="auto"/>
              <w:rPr>
                <w:szCs w:val="22"/>
              </w:rPr>
            </w:pPr>
            <w:r>
              <w:rPr>
                <w:szCs w:val="22"/>
              </w:rPr>
              <w:t>Parte 1: Generalidades.</w:t>
            </w:r>
          </w:p>
          <w:p w:rsidR="00C7085E" w:rsidRDefault="00C7085E" w:rsidP="00360671">
            <w:pPr>
              <w:spacing w:before="120" w:after="240" w:line="276" w:lineRule="auto"/>
              <w:rPr>
                <w:szCs w:val="22"/>
              </w:rPr>
            </w:pPr>
            <w:r>
              <w:rPr>
                <w:szCs w:val="22"/>
              </w:rPr>
              <w:t>Parte 2: Tubos.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12350: 2006</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Ensayos de hormigón fresco. Parte 2: Ensayo de asentamiento.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12371: 2007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Métodos de ensayo para piedra natural. Determinación de la resistencia a la heladicidad.</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12372: 2007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Métodos de ensayo para piedra natural. Determinación de </w:t>
            </w:r>
            <w:r>
              <w:rPr>
                <w:szCs w:val="22"/>
              </w:rPr>
              <w:lastRenderedPageBreak/>
              <w:t>la resistencia a la flexión bajo carga concentrada.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UNE-EN  12390: 2001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Ensayos de hormigón endurecido. Parte 1: Forma, medidas y otras características de las probetas y moldes.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12390: 2003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Ensayos de hormigón endurecido. Parte 3: Determinación de la resistencia a compresión de probetas.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12407: 2007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Métodos de ensayo para piedra natural. Estudio petrográfico.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12592: 2015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Betunes y ligantes bituminosos. Determinación de la solubilidad.</w:t>
            </w:r>
          </w:p>
        </w:tc>
      </w:tr>
      <w:tr w:rsidR="00C7085E" w:rsidTr="00C7085E">
        <w:tc>
          <w:tcPr>
            <w:tcW w:w="2943"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UNE-EN  12608: 2003</w:t>
            </w:r>
          </w:p>
        </w:tc>
        <w:tc>
          <w:tcPr>
            <w:tcW w:w="6096"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Perfiles de poli (cloruro de vinilo) no plastificado (PVC-U) para la fabricación de ventanas y de puertas. Clasificación, requisitos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12697: 2013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Mezclas bituminosas. Métodos de ensayo para mezclas bituminosas en caliente. Parte 34: Ensayo Marshall.</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12699: 2001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Realización de trabajos geotécnicos especiales. Pilotes de desplazamiento.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12794: 2006</w:t>
            </w:r>
          </w:p>
          <w:p w:rsidR="00C7085E" w:rsidRDefault="00C7085E" w:rsidP="00360671">
            <w:pPr>
              <w:spacing w:before="120" w:after="240" w:line="276" w:lineRule="auto"/>
              <w:rPr>
                <w:szCs w:val="22"/>
              </w:rPr>
            </w:pPr>
            <w:r>
              <w:rPr>
                <w:szCs w:val="22"/>
              </w:rPr>
              <w:t>+A1:2008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Productos prefabricados de hormigón. Pilotes de cimentación.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12842: 2013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Racores de fundición dúctil para sistemas de tuberías de PVC-U o PE. Requisitos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12849: 2009</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Betunes y ligantes bituminosos. Determinación del poder de penetración de las emulsiones bituminosas.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12944: 2008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Pinturas y barnices. Protección de estructuras de acero frente a la corrosión mediante sistemas de pintura protectores. Parte 5: Sistema de pinturas protectores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13043: 2003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Áridos para mezclas bituminosas y tratamientos superficiales de carreteras, aeropuertos y otras zonas pavimentadas.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UNE-EN  13101: 2003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Pates para pozos de registro enterrados. Requisitos, marcado, ensayos y evaluación de conformidad.</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13286: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Mezclas de áridos sin ligante y con conglomerante hidráulico. Parte 2: Métodos de ensayo para la determinación en laboratorio de la densidad de referencia y el contenido en agua. Compactación Próctor.</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13286: 2003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Mezclas de áridos sin ligante y con conglomerante hidráulico. Parte 41: Método de ensayo para la determinación de la resistencia a la compresión de las mezclas de áridos con conglomerante hidráulico.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13279: 2009</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Yesos de construcción y conglomerantes a base de yeso para la construcción. Parte 1: Definiciones y especificaciones.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13331: 2002</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Sistemas de entibación de zanjas.</w:t>
            </w:r>
          </w:p>
          <w:p w:rsidR="00C7085E" w:rsidRDefault="00C7085E" w:rsidP="00360671">
            <w:pPr>
              <w:spacing w:before="120" w:after="240" w:line="276" w:lineRule="auto"/>
              <w:rPr>
                <w:szCs w:val="22"/>
              </w:rPr>
            </w:pPr>
            <w:r>
              <w:rPr>
                <w:szCs w:val="22"/>
              </w:rPr>
              <w:t>Parte 1. Especificaciones de producto.</w:t>
            </w:r>
          </w:p>
          <w:p w:rsidR="00C7085E" w:rsidRDefault="00C7085E" w:rsidP="00360671">
            <w:pPr>
              <w:spacing w:before="120" w:after="240" w:line="276" w:lineRule="auto"/>
              <w:rPr>
                <w:szCs w:val="22"/>
              </w:rPr>
            </w:pPr>
            <w:r>
              <w:rPr>
                <w:szCs w:val="22"/>
              </w:rPr>
              <w:t>Parte 2: Evaluación por cálculo o por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13369: 2013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Reglas comunes para productos prefabricados de hormigón.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13476: 2007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Sistemas de canalización en materiales plásticos para evacuación y saneamiento enterrado sin presión. Sistemas de canalización de pared estructurada de poli (cloruro de vinilo) no plastificado (PVC-U), polipropileno (PP) y polietileno (PE). Parte 1: Requisitos generales y características de funcionamiento.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13478: 2005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Baldosas de terrazo. Parte 1: Baldosas de terrazo para uso interior.</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pPr>
            <w:r>
              <w:t>UNE-EN  13589: 2008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Betunes y ligantes bituminosos. Determinación de las propiedades de tracción de betunes modificados por el método de fuerza-ductilidad.</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t>UNE-EN  13598-1: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Sistemas de canalización en materiales plásticos para saneamiento y evacuación enterrados sin presión. Policloruro de vinilo no plastificado (PVC-U), polipropileno (PP) y polietileno (PE). Parte 1: Especificaciones para los </w:t>
            </w:r>
            <w:r>
              <w:rPr>
                <w:szCs w:val="22"/>
              </w:rPr>
              <w:lastRenderedPageBreak/>
              <w:t>accesorios auxiliares incluyendo las arquetas de inspección poco profundas.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pPr>
            <w:r>
              <w:lastRenderedPageBreak/>
              <w:t>UNE-EN  13706-1: 2003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Materiales compuestos de plástico reforzado. Especificaciones para perfiles pultruidos.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14157: 2005</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Métodos de ensayo para piedra natural. Determinación de la resistencia a la abrasión.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14199: 2006</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Ejecución de trabajos especiales. Micropilotes.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14231: 2004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Métodos de ensayo para piedra natural. Determinación de la resistencia al deslizamiento mediante el péndulo de fricción.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14246: 2007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Placas de escayola para techos suspendidos. Definiciones, especificaciones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14364: 2007</w:t>
            </w:r>
          </w:p>
          <w:p w:rsidR="00C7085E" w:rsidRDefault="00C7085E" w:rsidP="00360671">
            <w:pPr>
              <w:spacing w:before="120" w:after="240" w:line="276" w:lineRule="auto"/>
              <w:rPr>
                <w:szCs w:val="22"/>
              </w:rPr>
            </w:pPr>
            <w:r>
              <w:rPr>
                <w:szCs w:val="22"/>
              </w:rPr>
              <w:t>+A1:2009</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Sistemas de canalización en materiales plásticos para evacuación y saneamiento con o sin presión. Plásticos termoendurecibles reforzados con vidrio (PRFV) a base de resina de poliéster insaturado (UP). Especificaciones para tuberías, accesorios y uniones.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14396: 2004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Escaleras fijas para pozos de registro.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14411: 2007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Baldosas cerámicas. Definiciones, clasificación, características y marcado.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14844: 2007</w:t>
            </w:r>
          </w:p>
          <w:p w:rsidR="00C7085E" w:rsidRDefault="00C7085E" w:rsidP="00360671">
            <w:pPr>
              <w:spacing w:before="120" w:after="240" w:line="276" w:lineRule="auto"/>
              <w:rPr>
                <w:szCs w:val="22"/>
              </w:rPr>
            </w:pPr>
            <w:r>
              <w:rPr>
                <w:szCs w:val="22"/>
              </w:rPr>
              <w:t>+A2:2012</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Productos prefabricados de hormigón. Marcos.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15189: 2008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Tuberías, accesorios y piezas especiales de fundición dúctil. Recubrimientos exteriores de poliuretano para tuberías. Requisitos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60034: 2011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Máquinas eléctricas rotativas. Parte 1: Características asignadas y características de funcionamiento.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60034: 2004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 xml:space="preserve">Máquinas eléctricas rotativas. Parte 14. Vibraciones mecánicas de determinadas máquinas con altura de eje igual o superior a 56 mm. Medición, evaluación y límites de </w:t>
            </w:r>
            <w:r>
              <w:rPr>
                <w:szCs w:val="22"/>
              </w:rPr>
              <w:lastRenderedPageBreak/>
              <w:t>la intensidad de vibración. (IEC 60034-14:2003/A1:2007).</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UNE-EN  60034: 2010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Máquinas eléctricas rotativas. Parte 30: Clases de rendimiento para los motores trifásicos de inducción de jaula de velocidad única (código IE).</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60076: 2013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Transformadores de potencia.</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60439: 2001</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Conjuntos de aparamenta de baja tensión.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60831: 1998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Condensadores de potencia autorregenerables a instalar en paralelo en redes de corriente alterna de tensión nominal inferior o igual a 1000 V.</w:t>
            </w:r>
          </w:p>
        </w:tc>
      </w:tr>
      <w:tr w:rsidR="00C7085E" w:rsidTr="00C7085E">
        <w:tc>
          <w:tcPr>
            <w:tcW w:w="2943" w:type="dxa"/>
            <w:tcBorders>
              <w:top w:val="nil"/>
              <w:left w:val="nil"/>
              <w:bottom w:val="nil"/>
              <w:right w:val="nil"/>
            </w:tcBorders>
          </w:tcPr>
          <w:p w:rsidR="00C7085E" w:rsidRDefault="00C7085E" w:rsidP="00360671">
            <w:pPr>
              <w:spacing w:before="120" w:after="240" w:line="276" w:lineRule="auto"/>
              <w:rPr>
                <w:szCs w:val="22"/>
              </w:rPr>
            </w:pP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Parte 1. Generalidades. Características de funcionamiento, ensayos y valores nominales. Prescripciones de seguridad. Guía de instalación y de explotación.</w:t>
            </w:r>
          </w:p>
          <w:p w:rsidR="00C7085E" w:rsidRDefault="00C7085E" w:rsidP="00360671">
            <w:pPr>
              <w:spacing w:before="120" w:after="240" w:line="276" w:lineRule="auto"/>
              <w:rPr>
                <w:szCs w:val="22"/>
              </w:rPr>
            </w:pPr>
            <w:r>
              <w:rPr>
                <w:szCs w:val="22"/>
              </w:rPr>
              <w:t>Parte 2. Ensayos de envejecimiento, autorregeneración y destrucción.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61000: 2007</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Compatibilidad electromagnética (CEM). Parte 6-1: Normas genéricas. Inmunidad en entornos residenciales, comerciales y de industria ligera. (IEC 61000-6-1:2005).</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61439: 2014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Conjuntos de aparamenta de baja tensión. Parte 1: Reglas Generales.</w:t>
            </w:r>
          </w:p>
        </w:tc>
      </w:tr>
    </w:tbl>
    <w:p w:rsidR="00C7085E" w:rsidRDefault="00C7085E" w:rsidP="00360671">
      <w:pPr>
        <w:widowControl/>
        <w:numPr>
          <w:ilvl w:val="0"/>
          <w:numId w:val="8"/>
        </w:numPr>
        <w:suppressAutoHyphens/>
        <w:autoSpaceDE/>
        <w:autoSpaceDN/>
        <w:adjustRightInd/>
        <w:spacing w:before="120" w:after="240" w:line="276" w:lineRule="auto"/>
        <w:ind w:left="714" w:hanging="357"/>
        <w:rPr>
          <w:szCs w:val="22"/>
          <w:lang w:val="es-ES_tradnl" w:eastAsia="es-ES_tradnl"/>
        </w:rPr>
      </w:pPr>
      <w:r>
        <w:rPr>
          <w:szCs w:val="22"/>
        </w:rPr>
        <w:t>Normas UNE-EN ISO</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096"/>
      </w:tblGrid>
      <w:tr w:rsidR="00C7085E" w:rsidTr="00C7085E">
        <w:tc>
          <w:tcPr>
            <w:tcW w:w="2943"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UNE-EN ISO  898: 2010</w:t>
            </w:r>
          </w:p>
        </w:tc>
        <w:tc>
          <w:tcPr>
            <w:tcW w:w="6096"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Características mecánicas de los elementos de fijación de acero al carbono y acero aleado. Parte 1: Pernos, tornillos y bulones con clases de calidad especificadas. Rosca de paso grueso y rosca de paso fino (ISO 898-1:2009)</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ISO 1461: 2010</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Recubrimientos de galvanización en caliente sobre piezas de hierro y acero. Especificaciones y métodos de ensayo.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ISO 2409: 2013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Pinturas y barnices. Ensayo de corte con enrejado.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ISO 3452: 2014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Ensayos no destructivos. Ensayo por líquidos penetrantes. Parte 1: Principios generales</w:t>
            </w:r>
          </w:p>
          <w:p w:rsidR="00C7085E" w:rsidRDefault="00C7085E" w:rsidP="00360671">
            <w:pPr>
              <w:spacing w:before="120" w:after="240" w:line="276" w:lineRule="auto"/>
              <w:rPr>
                <w:szCs w:val="22"/>
              </w:rPr>
            </w:pPr>
            <w:r>
              <w:rPr>
                <w:szCs w:val="22"/>
              </w:rPr>
              <w:lastRenderedPageBreak/>
              <w:t>Parte 2: Ensayo de productos penetrantes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UNE-EN ISO 4892: 2014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Plásticos. Métodos de exposición a fuentes luminosas de laboratorio. Parte 2. Lámparas de arco de xenón.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ISO 7010: 2012</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Símbolos gráficos. Colores y señales de seguridad. Señales de seguridad registradas.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ISO 8501: 2008</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Preparación de substratos de acero previa a la aplicación de pinturas y productos relacionados. Evaluación visual de la limpieza de las superficies. Parte 1: Grados de óxido y de preparación de substratos de acero no pintados después de eliminar totalmente los recubrimientos anteriores. (ISO 8501-1:2007).</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ISO 10675: 2013</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Ensayo no destructivo de uniones soldadas. Niveles de aceptación para los ensayos radiográficos.  Parte 1: Acero, níquel, titanio y sus aleaciones.</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ISO 10684: 2006/AC:2009</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Elementos de fijación. Recubrimientos por galvanización en caliente (ISO 10684:2004/Cor 1:2008)</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ISO 12100: 2012</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Seguridad de las máquinas. Principios generales para el diseño. Evaluación del riesgo y reducción del riesgo</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UNE-EN ISO 15607:2004</w:t>
            </w:r>
          </w:p>
        </w:tc>
        <w:tc>
          <w:tcPr>
            <w:tcW w:w="6096" w:type="dxa"/>
            <w:tcBorders>
              <w:top w:val="nil"/>
              <w:left w:val="nil"/>
              <w:bottom w:val="nil"/>
              <w:right w:val="nil"/>
            </w:tcBorders>
            <w:hideMark/>
          </w:tcPr>
          <w:p w:rsidR="00C7085E" w:rsidRDefault="00C7085E" w:rsidP="00360671">
            <w:pPr>
              <w:spacing w:before="120" w:after="240" w:line="276" w:lineRule="auto"/>
              <w:rPr>
                <w:szCs w:val="22"/>
              </w:rPr>
            </w:pPr>
            <w:r>
              <w:rPr>
                <w:szCs w:val="22"/>
              </w:rPr>
              <w:t>Especificación y cualificación de los procedimientos de soldeo para los materiales metálicos. Reglas generales.</w:t>
            </w:r>
          </w:p>
        </w:tc>
      </w:tr>
    </w:tbl>
    <w:p w:rsidR="00C7085E" w:rsidRDefault="00C7085E" w:rsidP="00360671">
      <w:pPr>
        <w:widowControl/>
        <w:numPr>
          <w:ilvl w:val="0"/>
          <w:numId w:val="8"/>
        </w:numPr>
        <w:suppressAutoHyphens/>
        <w:autoSpaceDE/>
        <w:autoSpaceDN/>
        <w:adjustRightInd/>
        <w:spacing w:before="120" w:after="240" w:line="276" w:lineRule="auto"/>
        <w:ind w:left="714" w:hanging="357"/>
        <w:rPr>
          <w:szCs w:val="22"/>
          <w:lang w:val="es-ES_tradnl" w:eastAsia="es-ES_tradnl"/>
        </w:rPr>
      </w:pPr>
      <w:r>
        <w:rPr>
          <w:szCs w:val="22"/>
        </w:rPr>
        <w:t>Normas UNE-ISO</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096"/>
      </w:tblGrid>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UNE-ISO 8026:2012</w:t>
            </w:r>
          </w:p>
        </w:tc>
        <w:tc>
          <w:tcPr>
            <w:tcW w:w="6095" w:type="dxa"/>
            <w:tcBorders>
              <w:top w:val="nil"/>
              <w:left w:val="nil"/>
              <w:bottom w:val="nil"/>
              <w:right w:val="nil"/>
            </w:tcBorders>
            <w:hideMark/>
          </w:tcPr>
          <w:p w:rsidR="00C7085E" w:rsidRDefault="00C7085E" w:rsidP="00360671">
            <w:pPr>
              <w:spacing w:before="120" w:after="240" w:line="276" w:lineRule="auto"/>
              <w:rPr>
                <w:szCs w:val="22"/>
              </w:rPr>
            </w:pPr>
            <w:r>
              <w:rPr>
                <w:szCs w:val="22"/>
              </w:rPr>
              <w:t>Materiales de riego. Difusores. Especificaciones y métodos de ensayo.</w:t>
            </w:r>
          </w:p>
        </w:tc>
      </w:tr>
      <w:tr w:rsidR="00C7085E" w:rsidTr="00C7085E">
        <w:tc>
          <w:tcPr>
            <w:tcW w:w="2943"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UNE-ISO 16422: 2008</w:t>
            </w:r>
          </w:p>
        </w:tc>
        <w:tc>
          <w:tcPr>
            <w:tcW w:w="6095" w:type="dxa"/>
            <w:tcBorders>
              <w:top w:val="nil"/>
              <w:left w:val="nil"/>
              <w:bottom w:val="nil"/>
              <w:right w:val="nil"/>
            </w:tcBorders>
            <w:hideMark/>
          </w:tcPr>
          <w:p w:rsidR="00C7085E" w:rsidRDefault="00C7085E" w:rsidP="00360671">
            <w:pPr>
              <w:keepNext/>
              <w:keepLines/>
              <w:spacing w:before="120" w:after="240" w:line="276" w:lineRule="auto"/>
              <w:rPr>
                <w:szCs w:val="22"/>
              </w:rPr>
            </w:pPr>
            <w:r>
              <w:rPr>
                <w:szCs w:val="22"/>
              </w:rPr>
              <w:t>Tubos y uniones de poli (cloruro de vinilo) orientado (PVC-O) para conducción de agua a presión. Especificaciones.</w:t>
            </w:r>
          </w:p>
        </w:tc>
      </w:tr>
    </w:tbl>
    <w:p w:rsidR="00C7085E" w:rsidRDefault="00C7085E" w:rsidP="00360671">
      <w:pPr>
        <w:widowControl/>
        <w:numPr>
          <w:ilvl w:val="0"/>
          <w:numId w:val="8"/>
        </w:numPr>
        <w:suppressAutoHyphens/>
        <w:autoSpaceDE/>
        <w:autoSpaceDN/>
        <w:adjustRightInd/>
        <w:spacing w:before="120" w:after="240" w:line="276" w:lineRule="auto"/>
        <w:ind w:left="714" w:hanging="357"/>
        <w:rPr>
          <w:szCs w:val="22"/>
          <w:lang w:val="es-ES_tradnl" w:eastAsia="es-ES_tradnl"/>
        </w:rPr>
      </w:pPr>
      <w:r>
        <w:rPr>
          <w:szCs w:val="22"/>
        </w:rPr>
        <w:t>Normas ISO</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096"/>
      </w:tblGrid>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ISO   161:1996</w:t>
            </w:r>
          </w:p>
        </w:tc>
        <w:tc>
          <w:tcPr>
            <w:tcW w:w="6095" w:type="dxa"/>
            <w:tcBorders>
              <w:top w:val="nil"/>
              <w:left w:val="nil"/>
              <w:bottom w:val="nil"/>
              <w:right w:val="nil"/>
            </w:tcBorders>
            <w:hideMark/>
          </w:tcPr>
          <w:p w:rsidR="00C7085E" w:rsidRDefault="00C7085E" w:rsidP="00360671">
            <w:pPr>
              <w:spacing w:before="120" w:after="240" w:line="276" w:lineRule="auto"/>
              <w:rPr>
                <w:szCs w:val="22"/>
              </w:rPr>
            </w:pPr>
            <w:r>
              <w:rPr>
                <w:szCs w:val="22"/>
                <w:lang w:val="en-US"/>
              </w:rPr>
              <w:t xml:space="preserve">Thermoplastics pipes for the conveyance of fluids. Nominal outside diameters and nominal pressures. </w:t>
            </w:r>
            <w:r>
              <w:rPr>
                <w:szCs w:val="22"/>
              </w:rPr>
              <w:t>Part 1: Metric series</w:t>
            </w:r>
          </w:p>
        </w:tc>
      </w:tr>
      <w:tr w:rsidR="00C7085E" w:rsidRPr="004A6A0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lastRenderedPageBreak/>
              <w:t xml:space="preserve">ISO 2531:2009 </w:t>
            </w:r>
          </w:p>
        </w:tc>
        <w:tc>
          <w:tcPr>
            <w:tcW w:w="6095" w:type="dxa"/>
            <w:tcBorders>
              <w:top w:val="nil"/>
              <w:left w:val="nil"/>
              <w:bottom w:val="nil"/>
              <w:right w:val="nil"/>
            </w:tcBorders>
            <w:hideMark/>
          </w:tcPr>
          <w:p w:rsidR="00C7085E" w:rsidRDefault="00C7085E" w:rsidP="00360671">
            <w:pPr>
              <w:spacing w:before="120" w:after="240" w:line="276" w:lineRule="auto"/>
              <w:rPr>
                <w:szCs w:val="22"/>
                <w:lang w:val="en-US"/>
              </w:rPr>
            </w:pPr>
            <w:r>
              <w:rPr>
                <w:szCs w:val="22"/>
                <w:lang w:val="en-US"/>
              </w:rPr>
              <w:t>Ductile iron pipes, fittings, accessories and their joints for water applications</w:t>
            </w:r>
          </w:p>
        </w:tc>
      </w:tr>
      <w:tr w:rsidR="00C7085E" w:rsidRPr="004A6A0E" w:rsidTr="00C7085E">
        <w:tc>
          <w:tcPr>
            <w:tcW w:w="2943" w:type="dxa"/>
            <w:tcBorders>
              <w:top w:val="nil"/>
              <w:left w:val="nil"/>
              <w:bottom w:val="nil"/>
              <w:right w:val="nil"/>
            </w:tcBorders>
            <w:hideMark/>
          </w:tcPr>
          <w:p w:rsidR="00C7085E" w:rsidRDefault="00C7085E" w:rsidP="00360671">
            <w:pPr>
              <w:spacing w:before="120" w:after="240" w:line="276" w:lineRule="auto"/>
              <w:rPr>
                <w:szCs w:val="22"/>
                <w:lang w:val="es-ES_tradnl"/>
              </w:rPr>
            </w:pPr>
            <w:r>
              <w:rPr>
                <w:szCs w:val="22"/>
              </w:rPr>
              <w:t>ISO 4200:1991</w:t>
            </w:r>
          </w:p>
        </w:tc>
        <w:tc>
          <w:tcPr>
            <w:tcW w:w="6095" w:type="dxa"/>
            <w:tcBorders>
              <w:top w:val="nil"/>
              <w:left w:val="nil"/>
              <w:bottom w:val="nil"/>
              <w:right w:val="nil"/>
            </w:tcBorders>
            <w:hideMark/>
          </w:tcPr>
          <w:p w:rsidR="00C7085E" w:rsidRDefault="00C7085E" w:rsidP="00360671">
            <w:pPr>
              <w:spacing w:before="120" w:after="240" w:line="276" w:lineRule="auto"/>
              <w:rPr>
                <w:szCs w:val="22"/>
                <w:lang w:val="en-US"/>
              </w:rPr>
            </w:pPr>
            <w:r>
              <w:rPr>
                <w:szCs w:val="22"/>
                <w:lang w:val="en-US"/>
              </w:rPr>
              <w:t>Plain end steel tubes, welded and seamless -- General tables of dimensions and masses per unit length</w:t>
            </w:r>
          </w:p>
        </w:tc>
      </w:tr>
      <w:tr w:rsidR="00C7085E" w:rsidRPr="004A6A0E" w:rsidTr="00C7085E">
        <w:tc>
          <w:tcPr>
            <w:tcW w:w="2943" w:type="dxa"/>
            <w:tcBorders>
              <w:top w:val="nil"/>
              <w:left w:val="nil"/>
              <w:bottom w:val="nil"/>
              <w:right w:val="nil"/>
            </w:tcBorders>
            <w:hideMark/>
          </w:tcPr>
          <w:p w:rsidR="00C7085E" w:rsidRDefault="00C7085E" w:rsidP="00360671">
            <w:pPr>
              <w:spacing w:before="120" w:after="240" w:line="276" w:lineRule="auto"/>
              <w:rPr>
                <w:szCs w:val="22"/>
                <w:lang w:val="es-ES_tradnl"/>
              </w:rPr>
            </w:pPr>
            <w:r>
              <w:rPr>
                <w:szCs w:val="22"/>
              </w:rPr>
              <w:t>ISO 8180: 2006</w:t>
            </w:r>
          </w:p>
        </w:tc>
        <w:tc>
          <w:tcPr>
            <w:tcW w:w="6095" w:type="dxa"/>
            <w:tcBorders>
              <w:top w:val="nil"/>
              <w:left w:val="nil"/>
              <w:bottom w:val="nil"/>
              <w:right w:val="nil"/>
            </w:tcBorders>
            <w:hideMark/>
          </w:tcPr>
          <w:p w:rsidR="00C7085E" w:rsidRDefault="00C7085E" w:rsidP="00360671">
            <w:pPr>
              <w:spacing w:before="120" w:after="240" w:line="276" w:lineRule="auto"/>
              <w:rPr>
                <w:szCs w:val="22"/>
                <w:lang w:val="en-US"/>
              </w:rPr>
            </w:pPr>
            <w:r>
              <w:rPr>
                <w:szCs w:val="22"/>
                <w:lang w:val="en-US"/>
              </w:rPr>
              <w:t>Ductile iron pipelines -- Polyethylene sleeving for site application.</w:t>
            </w:r>
          </w:p>
        </w:tc>
      </w:tr>
      <w:tr w:rsidR="00C7085E" w:rsidTr="00C7085E">
        <w:tc>
          <w:tcPr>
            <w:tcW w:w="2943" w:type="dxa"/>
            <w:tcBorders>
              <w:top w:val="nil"/>
              <w:left w:val="nil"/>
              <w:bottom w:val="nil"/>
              <w:right w:val="nil"/>
            </w:tcBorders>
            <w:hideMark/>
          </w:tcPr>
          <w:p w:rsidR="00C7085E" w:rsidRDefault="00C7085E" w:rsidP="00360671">
            <w:pPr>
              <w:spacing w:before="120" w:after="240" w:line="276" w:lineRule="auto"/>
              <w:rPr>
                <w:szCs w:val="22"/>
              </w:rPr>
            </w:pPr>
            <w:r>
              <w:rPr>
                <w:szCs w:val="22"/>
              </w:rPr>
              <w:t>ISO 9906: 2012</w:t>
            </w:r>
          </w:p>
        </w:tc>
        <w:tc>
          <w:tcPr>
            <w:tcW w:w="6095" w:type="dxa"/>
            <w:tcBorders>
              <w:top w:val="nil"/>
              <w:left w:val="nil"/>
              <w:bottom w:val="nil"/>
              <w:right w:val="nil"/>
            </w:tcBorders>
            <w:hideMark/>
          </w:tcPr>
          <w:p w:rsidR="00C7085E" w:rsidRDefault="00C7085E" w:rsidP="00360671">
            <w:pPr>
              <w:spacing w:before="120" w:after="240" w:line="276" w:lineRule="auto"/>
              <w:rPr>
                <w:szCs w:val="22"/>
                <w:lang w:val="en-US"/>
              </w:rPr>
            </w:pPr>
            <w:r>
              <w:rPr>
                <w:szCs w:val="22"/>
              </w:rPr>
              <w:t>Bombas rotodinámicas. Ensayos de rendimiento hidráulico de aceptación. Niveles</w:t>
            </w:r>
            <w:r>
              <w:rPr>
                <w:szCs w:val="22"/>
                <w:lang w:val="en-US"/>
              </w:rPr>
              <w:t xml:space="preserve"> 1, 2 y 3.</w:t>
            </w:r>
          </w:p>
        </w:tc>
      </w:tr>
    </w:tbl>
    <w:p w:rsidR="00C7085E" w:rsidRDefault="00C7085E" w:rsidP="00360671">
      <w:pPr>
        <w:widowControl/>
        <w:numPr>
          <w:ilvl w:val="0"/>
          <w:numId w:val="8"/>
        </w:numPr>
        <w:suppressAutoHyphens/>
        <w:autoSpaceDE/>
        <w:autoSpaceDN/>
        <w:adjustRightInd/>
        <w:spacing w:before="120" w:after="240" w:line="276" w:lineRule="auto"/>
        <w:ind w:left="714" w:hanging="357"/>
        <w:rPr>
          <w:szCs w:val="22"/>
          <w:lang w:val="es-ES_tradnl" w:eastAsia="es-ES_tradnl"/>
        </w:rPr>
      </w:pPr>
      <w:r>
        <w:rPr>
          <w:szCs w:val="22"/>
        </w:rPr>
        <w:t>Otras normas técnicas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6284"/>
      </w:tblGrid>
      <w:tr w:rsidR="00C7085E" w:rsidRPr="004A6A0E" w:rsidTr="00C7085E">
        <w:tc>
          <w:tcPr>
            <w:tcW w:w="2755" w:type="dxa"/>
            <w:tcBorders>
              <w:top w:val="nil"/>
              <w:left w:val="nil"/>
              <w:bottom w:val="nil"/>
              <w:right w:val="nil"/>
            </w:tcBorders>
            <w:hideMark/>
          </w:tcPr>
          <w:p w:rsidR="00C7085E" w:rsidRDefault="00C7085E" w:rsidP="00360671">
            <w:pPr>
              <w:spacing w:before="120" w:after="240" w:line="276" w:lineRule="auto"/>
            </w:pPr>
            <w:r>
              <w:rPr>
                <w:szCs w:val="22"/>
              </w:rPr>
              <w:t>AWWA C210</w:t>
            </w:r>
          </w:p>
        </w:tc>
        <w:tc>
          <w:tcPr>
            <w:tcW w:w="6284" w:type="dxa"/>
            <w:tcBorders>
              <w:top w:val="nil"/>
              <w:left w:val="nil"/>
              <w:bottom w:val="nil"/>
              <w:right w:val="nil"/>
            </w:tcBorders>
            <w:hideMark/>
          </w:tcPr>
          <w:p w:rsidR="00C7085E" w:rsidRDefault="00C7085E" w:rsidP="00360671">
            <w:pPr>
              <w:spacing w:before="120" w:after="240" w:line="276" w:lineRule="auto"/>
              <w:rPr>
                <w:lang w:val="en-US"/>
              </w:rPr>
            </w:pPr>
            <w:r>
              <w:rPr>
                <w:szCs w:val="22"/>
                <w:lang w:val="en-US"/>
              </w:rPr>
              <w:t>Liquid epoxy coating systems for the interior and exterior of steel water pipelines.</w:t>
            </w:r>
          </w:p>
        </w:tc>
      </w:tr>
      <w:tr w:rsidR="00C7085E" w:rsidRPr="004A6A0E" w:rsidTr="00C7085E">
        <w:tc>
          <w:tcPr>
            <w:tcW w:w="2755" w:type="dxa"/>
            <w:tcBorders>
              <w:top w:val="nil"/>
              <w:left w:val="nil"/>
              <w:bottom w:val="nil"/>
              <w:right w:val="nil"/>
            </w:tcBorders>
            <w:hideMark/>
          </w:tcPr>
          <w:p w:rsidR="00C7085E" w:rsidRDefault="00C7085E" w:rsidP="00360671">
            <w:pPr>
              <w:spacing w:before="120" w:after="240" w:line="276" w:lineRule="auto"/>
              <w:rPr>
                <w:lang w:val="es-ES_tradnl"/>
              </w:rPr>
            </w:pPr>
            <w:r>
              <w:rPr>
                <w:szCs w:val="22"/>
              </w:rPr>
              <w:t>AWWA C222</w:t>
            </w:r>
          </w:p>
        </w:tc>
        <w:tc>
          <w:tcPr>
            <w:tcW w:w="6284" w:type="dxa"/>
            <w:tcBorders>
              <w:top w:val="nil"/>
              <w:left w:val="nil"/>
              <w:bottom w:val="nil"/>
              <w:right w:val="nil"/>
            </w:tcBorders>
            <w:hideMark/>
          </w:tcPr>
          <w:p w:rsidR="00C7085E" w:rsidRDefault="00C7085E" w:rsidP="00360671">
            <w:pPr>
              <w:spacing w:before="120" w:after="240" w:line="276" w:lineRule="auto"/>
              <w:rPr>
                <w:lang w:val="en-US"/>
              </w:rPr>
            </w:pPr>
            <w:r>
              <w:rPr>
                <w:szCs w:val="22"/>
                <w:lang w:val="en-US"/>
              </w:rPr>
              <w:t>Polyurethane coatings for the interior and exterior of steel water pipes and fittings.</w:t>
            </w:r>
          </w:p>
        </w:tc>
      </w:tr>
      <w:tr w:rsidR="00C7085E" w:rsidTr="00C7085E">
        <w:tc>
          <w:tcPr>
            <w:tcW w:w="2755" w:type="dxa"/>
            <w:tcBorders>
              <w:top w:val="nil"/>
              <w:left w:val="nil"/>
              <w:bottom w:val="nil"/>
              <w:right w:val="nil"/>
            </w:tcBorders>
            <w:hideMark/>
          </w:tcPr>
          <w:p w:rsidR="00C7085E" w:rsidRDefault="00C7085E" w:rsidP="00360671">
            <w:pPr>
              <w:spacing w:before="120" w:after="240" w:line="276" w:lineRule="auto"/>
              <w:rPr>
                <w:lang w:val="es-ES_tradnl"/>
              </w:rPr>
            </w:pPr>
            <w:r>
              <w:rPr>
                <w:szCs w:val="22"/>
              </w:rPr>
              <w:t>AWWA M45</w:t>
            </w:r>
          </w:p>
        </w:tc>
        <w:tc>
          <w:tcPr>
            <w:tcW w:w="6284" w:type="dxa"/>
            <w:tcBorders>
              <w:top w:val="nil"/>
              <w:left w:val="nil"/>
              <w:bottom w:val="nil"/>
              <w:right w:val="nil"/>
            </w:tcBorders>
            <w:hideMark/>
          </w:tcPr>
          <w:p w:rsidR="00C7085E" w:rsidRDefault="00C7085E" w:rsidP="00360671">
            <w:pPr>
              <w:spacing w:before="120" w:after="240" w:line="276" w:lineRule="auto"/>
              <w:rPr>
                <w:lang w:val="en-US"/>
              </w:rPr>
            </w:pPr>
            <w:r>
              <w:rPr>
                <w:szCs w:val="22"/>
                <w:lang w:val="en-US"/>
              </w:rPr>
              <w:t>Fiberglass pipe design.</w:t>
            </w:r>
          </w:p>
        </w:tc>
      </w:tr>
      <w:tr w:rsidR="00C7085E" w:rsidTr="00C7085E">
        <w:tc>
          <w:tcPr>
            <w:tcW w:w="2755" w:type="dxa"/>
            <w:tcBorders>
              <w:top w:val="nil"/>
              <w:left w:val="nil"/>
              <w:bottom w:val="nil"/>
              <w:right w:val="nil"/>
            </w:tcBorders>
            <w:hideMark/>
          </w:tcPr>
          <w:p w:rsidR="00C7085E" w:rsidRDefault="00C7085E" w:rsidP="00360671">
            <w:pPr>
              <w:spacing w:before="120" w:after="240" w:line="276" w:lineRule="auto"/>
              <w:rPr>
                <w:lang w:val="es-ES_tradnl"/>
              </w:rPr>
            </w:pPr>
            <w:r>
              <w:rPr>
                <w:szCs w:val="22"/>
              </w:rPr>
              <w:t>DIN 30670</w:t>
            </w:r>
          </w:p>
        </w:tc>
        <w:tc>
          <w:tcPr>
            <w:tcW w:w="6284" w:type="dxa"/>
            <w:tcBorders>
              <w:top w:val="nil"/>
              <w:left w:val="nil"/>
              <w:bottom w:val="nil"/>
              <w:right w:val="nil"/>
            </w:tcBorders>
            <w:hideMark/>
          </w:tcPr>
          <w:p w:rsidR="00C7085E" w:rsidRDefault="00C7085E" w:rsidP="00360671">
            <w:pPr>
              <w:spacing w:before="120" w:after="240" w:line="276" w:lineRule="auto"/>
            </w:pPr>
            <w:r>
              <w:rPr>
                <w:szCs w:val="22"/>
                <w:lang w:val="en-US"/>
              </w:rPr>
              <w:t xml:space="preserve">Polyethylen coatings of steel pipes and fittings. </w:t>
            </w:r>
            <w:r>
              <w:rPr>
                <w:szCs w:val="22"/>
              </w:rPr>
              <w:t>Requirements and testing.</w:t>
            </w:r>
          </w:p>
        </w:tc>
      </w:tr>
      <w:tr w:rsidR="00C7085E" w:rsidRPr="004A6A0E" w:rsidTr="00C7085E">
        <w:tc>
          <w:tcPr>
            <w:tcW w:w="2755" w:type="dxa"/>
            <w:tcBorders>
              <w:top w:val="nil"/>
              <w:left w:val="nil"/>
              <w:bottom w:val="nil"/>
              <w:right w:val="nil"/>
            </w:tcBorders>
            <w:hideMark/>
          </w:tcPr>
          <w:p w:rsidR="00C7085E" w:rsidRDefault="00C7085E" w:rsidP="00360671">
            <w:pPr>
              <w:spacing w:before="120" w:after="240" w:line="276" w:lineRule="auto"/>
            </w:pPr>
            <w:r>
              <w:rPr>
                <w:szCs w:val="22"/>
              </w:rPr>
              <w:t>BS 8007</w:t>
            </w:r>
          </w:p>
        </w:tc>
        <w:tc>
          <w:tcPr>
            <w:tcW w:w="6284" w:type="dxa"/>
            <w:tcBorders>
              <w:top w:val="nil"/>
              <w:left w:val="nil"/>
              <w:bottom w:val="nil"/>
              <w:right w:val="nil"/>
            </w:tcBorders>
            <w:hideMark/>
          </w:tcPr>
          <w:p w:rsidR="00C7085E" w:rsidRDefault="00C7085E" w:rsidP="00360671">
            <w:pPr>
              <w:spacing w:before="120" w:after="240" w:line="276" w:lineRule="auto"/>
              <w:rPr>
                <w:lang w:val="en-US"/>
              </w:rPr>
            </w:pPr>
            <w:r>
              <w:rPr>
                <w:szCs w:val="22"/>
                <w:lang w:val="en-US"/>
              </w:rPr>
              <w:t>Design of concrete structures for retaining aqueous liquids.</w:t>
            </w:r>
          </w:p>
        </w:tc>
      </w:tr>
    </w:tbl>
    <w:p w:rsidR="00C7085E" w:rsidRDefault="00C7085E" w:rsidP="00B71B1A">
      <w:pPr>
        <w:spacing w:before="120" w:after="240" w:line="276" w:lineRule="auto"/>
        <w:ind w:right="-285"/>
        <w:rPr>
          <w:lang w:val="en-GB"/>
        </w:rPr>
      </w:pPr>
    </w:p>
    <w:p w:rsidR="00C7085E" w:rsidRPr="00EF3DE9" w:rsidRDefault="00C7085E" w:rsidP="00B71B1A">
      <w:pPr>
        <w:pStyle w:val="Ttulo1"/>
        <w:pageBreakBefore/>
        <w:suppressAutoHyphens/>
        <w:spacing w:before="0" w:after="240" w:line="276" w:lineRule="auto"/>
        <w:ind w:left="1985" w:right="-285" w:hanging="1985"/>
        <w:jc w:val="both"/>
        <w:rPr>
          <w:szCs w:val="20"/>
        </w:rPr>
      </w:pPr>
      <w:bookmarkStart w:id="79" w:name="_Toc414200189"/>
      <w:bookmarkStart w:id="80" w:name="_Toc414200411"/>
      <w:bookmarkStart w:id="81" w:name="_Toc448741380"/>
      <w:bookmarkEnd w:id="79"/>
      <w:bookmarkEnd w:id="80"/>
      <w:r w:rsidRPr="00EF3DE9">
        <w:rPr>
          <w:szCs w:val="20"/>
        </w:rPr>
        <w:lastRenderedPageBreak/>
        <w:t>OBRA CIVIL</w:t>
      </w:r>
      <w:bookmarkEnd w:id="81"/>
    </w:p>
    <w:p w:rsidR="00894B2B" w:rsidRPr="009A5015" w:rsidRDefault="00894B2B" w:rsidP="00B71B1A">
      <w:pPr>
        <w:pStyle w:val="Prrafodelista"/>
        <w:keepNext/>
        <w:numPr>
          <w:ilvl w:val="0"/>
          <w:numId w:val="5"/>
        </w:numPr>
        <w:tabs>
          <w:tab w:val="left" w:pos="2268"/>
        </w:tabs>
        <w:snapToGrid/>
        <w:spacing w:after="0"/>
        <w:ind w:left="2058" w:right="-285" w:hanging="357"/>
        <w:contextualSpacing w:val="0"/>
        <w:outlineLvl w:val="1"/>
        <w:rPr>
          <w:rFonts w:ascii="Arial" w:eastAsia="Times New Roman" w:hAnsi="Arial" w:cs="Times New Roman"/>
          <w:b/>
          <w:vanish/>
          <w:sz w:val="2"/>
          <w:szCs w:val="2"/>
          <w:lang w:eastAsia="es-ES"/>
        </w:rPr>
      </w:pPr>
    </w:p>
    <w:p w:rsidR="00894B2B" w:rsidRPr="009A5015" w:rsidRDefault="00894B2B" w:rsidP="00B71B1A">
      <w:pPr>
        <w:pStyle w:val="Prrafodelista"/>
        <w:keepNext/>
        <w:numPr>
          <w:ilvl w:val="0"/>
          <w:numId w:val="5"/>
        </w:numPr>
        <w:tabs>
          <w:tab w:val="left" w:pos="2268"/>
        </w:tabs>
        <w:snapToGrid/>
        <w:spacing w:after="0"/>
        <w:ind w:left="2058" w:right="-285" w:hanging="357"/>
        <w:contextualSpacing w:val="0"/>
        <w:outlineLvl w:val="1"/>
        <w:rPr>
          <w:rFonts w:ascii="Arial" w:eastAsia="Times New Roman" w:hAnsi="Arial" w:cs="Times New Roman"/>
          <w:b/>
          <w:vanish/>
          <w:sz w:val="2"/>
          <w:szCs w:val="2"/>
          <w:lang w:eastAsia="es-ES"/>
        </w:rPr>
      </w:pPr>
    </w:p>
    <w:p w:rsidR="00894B2B" w:rsidRPr="009A5015" w:rsidRDefault="00894B2B" w:rsidP="00B71B1A">
      <w:pPr>
        <w:pStyle w:val="Prrafodelista"/>
        <w:keepNext/>
        <w:numPr>
          <w:ilvl w:val="0"/>
          <w:numId w:val="5"/>
        </w:numPr>
        <w:tabs>
          <w:tab w:val="left" w:pos="2268"/>
        </w:tabs>
        <w:snapToGrid/>
        <w:spacing w:after="0"/>
        <w:ind w:left="2058" w:right="-285" w:hanging="357"/>
        <w:contextualSpacing w:val="0"/>
        <w:outlineLvl w:val="1"/>
        <w:rPr>
          <w:rFonts w:ascii="Arial" w:eastAsia="Times New Roman" w:hAnsi="Arial" w:cs="Times New Roman"/>
          <w:b/>
          <w:vanish/>
          <w:sz w:val="2"/>
          <w:szCs w:val="2"/>
          <w:lang w:eastAsia="es-ES"/>
        </w:rPr>
      </w:pPr>
    </w:p>
    <w:p w:rsidR="00C7085E" w:rsidRPr="00894B2B" w:rsidRDefault="00796B4E" w:rsidP="00B71B1A">
      <w:pPr>
        <w:pStyle w:val="Ttulo2"/>
        <w:numPr>
          <w:ilvl w:val="1"/>
          <w:numId w:val="5"/>
        </w:numPr>
        <w:snapToGrid/>
        <w:spacing w:before="400" w:after="400" w:line="276" w:lineRule="auto"/>
        <w:ind w:left="0" w:right="-285"/>
        <w:rPr>
          <w:caps w:val="0"/>
        </w:rPr>
      </w:pPr>
      <w:bookmarkStart w:id="82" w:name="_Toc448741381"/>
      <w:r w:rsidRPr="00894B2B">
        <w:rPr>
          <w:caps w:val="0"/>
        </w:rPr>
        <w:t>MOVIMIENTOS DE TIERRAS Y DRENAJES</w:t>
      </w:r>
      <w:bookmarkEnd w:id="82"/>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3" w:name="_Toc414021760"/>
      <w:bookmarkStart w:id="84" w:name="_Toc448741382"/>
      <w:r>
        <w:t>Despeje, desbroce del terreno y retirada de tierra vegetal</w:t>
      </w:r>
      <w:bookmarkEnd w:id="83"/>
      <w:bookmarkEnd w:id="84"/>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85" w:name="_Toc389737894"/>
      <w:r>
        <w:t>Ejecución</w:t>
      </w:r>
      <w:bookmarkEnd w:id="85"/>
    </w:p>
    <w:p w:rsidR="00C7085E" w:rsidRDefault="00C7085E" w:rsidP="00B71B1A">
      <w:pPr>
        <w:spacing w:before="120" w:after="240" w:line="276" w:lineRule="auto"/>
        <w:ind w:right="-285"/>
      </w:pPr>
      <w:r>
        <w:t>Debe retirarse la tierra vegetal de las superficies de terreno afectadas por excavaciones o terraplenes, según las profundidades definidas en el Proyecto y verificadas durante la obra, procediendo a su mantenimiento según el condicionado ambiental.</w:t>
      </w:r>
    </w:p>
    <w:p w:rsidR="00C7085E" w:rsidRDefault="00C7085E" w:rsidP="00B71B1A">
      <w:pPr>
        <w:spacing w:before="120" w:after="240" w:line="276" w:lineRule="auto"/>
        <w:ind w:right="-285"/>
      </w:pPr>
      <w:r>
        <w:t xml:space="preserve">Las operaciones de remoción se efectuarán con las precauciones necesarias para lograr unas condiciones de seguridad suficiente, de acuerdo con lo que sobre el particular ordene la Dirección de Obra. </w:t>
      </w:r>
    </w:p>
    <w:p w:rsidR="00C7085E" w:rsidRDefault="00C7085E" w:rsidP="00B71B1A">
      <w:pPr>
        <w:spacing w:before="120" w:after="240" w:line="276" w:lineRule="auto"/>
        <w:ind w:right="-285"/>
      </w:pPr>
      <w:r>
        <w:t xml:space="preserve">Todos los tocones o raíces mayores de diez centímetros (10 cm) de diámetro serán eliminados hasta una profundidad no inferior a cincuenta centímetros (50 cm), por debajo de la rasante de la explanación. </w:t>
      </w:r>
    </w:p>
    <w:p w:rsidR="00C7085E" w:rsidRDefault="00C7085E" w:rsidP="00B71B1A">
      <w:pPr>
        <w:spacing w:before="120" w:after="240" w:line="276" w:lineRule="auto"/>
        <w:ind w:right="-285"/>
      </w:pPr>
      <w:r>
        <w:t xml:space="preserve">Todas las oquedades causadas por la extracción de tocones y raíces se rellenarán con el suelo que ha quedado al descubierto al hacer el desbroce y se compactarán hasta que la superficie se ajuste a la del terreno existente. </w:t>
      </w:r>
    </w:p>
    <w:p w:rsidR="00C7085E" w:rsidRDefault="00C7085E" w:rsidP="00B71B1A">
      <w:pPr>
        <w:spacing w:before="120" w:after="240" w:line="276" w:lineRule="auto"/>
        <w:ind w:right="-285"/>
      </w:pPr>
      <w:r>
        <w:t xml:space="preserve">Los trabajos se realizarán de forma que produzcan las menores molestias posibles a los ocupantes de las zonas próximas a la obra. </w:t>
      </w:r>
    </w:p>
    <w:p w:rsidR="00C7085E" w:rsidRDefault="00C7085E" w:rsidP="00B71B1A">
      <w:pPr>
        <w:spacing w:before="120" w:after="240" w:line="276" w:lineRule="auto"/>
        <w:ind w:right="-285"/>
      </w:pPr>
      <w:r>
        <w:t>Los árboles susceptibles de aprovechamiento serán podados y limpiados y se almacenarán cuidadosamente, a disposición de Canal de Isabel II Gestión.</w:t>
      </w:r>
    </w:p>
    <w:p w:rsidR="00C7085E" w:rsidRDefault="00C7085E" w:rsidP="00B71B1A">
      <w:pPr>
        <w:spacing w:before="120" w:after="240" w:line="276" w:lineRule="auto"/>
        <w:ind w:right="-285"/>
      </w:pPr>
      <w:r>
        <w:t>Será la Dirección de Obra la que estime la necesidad de talar y desbrozar toda la zona de expropiación así como en la zona de ocupación temporal de los terrenos.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 medición del despeje y desbroce se hará por los metros cuadrados (m</w:t>
      </w:r>
      <w:r>
        <w:rPr>
          <w:vertAlign w:val="superscript"/>
        </w:rPr>
        <w:t>2</w:t>
      </w:r>
      <w:r>
        <w:t xml:space="preserve">) de superficie despejada y desbrozada a satisfacción de la Dirección de Obra, en las áreas ordenadas por ella y cuando dichas áreas correspondan a zonas ocupadas por las estructuras permanentes de las obras. No se hará, por tanto, medida ni, consecuentemente, abono por el despeje y desbroce en las áreas de préstamo o canteras, instalaciones del Adjudicatario, oficinas, etc. </w:t>
      </w:r>
    </w:p>
    <w:p w:rsidR="00C7085E" w:rsidRDefault="00C7085E" w:rsidP="00B71B1A">
      <w:pPr>
        <w:spacing w:before="120" w:after="240" w:line="276" w:lineRule="auto"/>
        <w:ind w:right="-285"/>
      </w:pPr>
      <w:r>
        <w:t>El abono del despeje y desbroce se hará, según se considere o no incluida la tala de arbolado, mediante la aplicación del precio correspondiente de los que figuren en el Cuadro de Precios vigente de Canal de Isabel II Gestión.</w:t>
      </w:r>
    </w:p>
    <w:p w:rsidR="00C7085E" w:rsidRDefault="00C7085E" w:rsidP="00B71B1A">
      <w:pPr>
        <w:spacing w:before="120" w:after="240" w:line="276" w:lineRule="auto"/>
        <w:ind w:right="-285"/>
      </w:pPr>
      <w:r>
        <w:t xml:space="preserve">La retirada de tierra vegetal superficial del terreno desbrozado se medirá por metros cúbicos </w:t>
      </w:r>
      <w:r>
        <w:lastRenderedPageBreak/>
        <w:t>(m</w:t>
      </w:r>
      <w:r>
        <w:rPr>
          <w:vertAlign w:val="superscript"/>
        </w:rPr>
        <w:t>3</w:t>
      </w:r>
      <w:r>
        <w:t>) y se abonará mediante el precio correspondiente del Cuadro de Precios vigente de Canal de Isabel II Gestión.</w:t>
      </w:r>
    </w:p>
    <w:p w:rsidR="00C7085E" w:rsidRDefault="00C7085E" w:rsidP="00B71B1A">
      <w:pPr>
        <w:spacing w:before="120" w:after="240" w:line="276" w:lineRule="auto"/>
        <w:ind w:right="-285"/>
      </w:pPr>
      <w:r>
        <w:t>Adicionalmente, la tala de arbolado se abonará por unidad (ud) en función del perímetro del arbolado e incluyendo el troceado y apilado del mismo, así como el destoconado, mediante la aplicación del precio correspondiente de los que figuren en el Cuadro de Precios vigente de Canal de Isabel II Gestión.</w:t>
      </w:r>
    </w:p>
    <w:p w:rsidR="00C7085E" w:rsidRDefault="00C7085E" w:rsidP="00B71B1A">
      <w:pPr>
        <w:spacing w:before="120" w:after="240" w:line="276" w:lineRule="auto"/>
        <w:ind w:right="-285"/>
      </w:pPr>
      <w:r>
        <w:t>Una vez terminadas las obras, será imprescindible devolver la tierra vegetal al lugar donde se sacó, dejando las parcelas en idéntica situación al estado original de las mismas, incluso su reposición en la zona con nivelación final y reconstrucción de bancales Todas estas operaciones se consideran incluidas en el precio de la retirada de tierra vegetal.</w:t>
      </w:r>
    </w:p>
    <w:p w:rsidR="00C7085E" w:rsidRDefault="00C7085E" w:rsidP="00B71B1A">
      <w:pPr>
        <w:spacing w:before="120" w:after="240" w:line="276" w:lineRule="auto"/>
        <w:ind w:right="-285"/>
      </w:pPr>
      <w:r>
        <w:t>No se considera incluido en el precio de desbroce:</w:t>
      </w:r>
    </w:p>
    <w:p w:rsidR="00C7085E" w:rsidRDefault="00C7085E" w:rsidP="00B71B1A">
      <w:pPr>
        <w:widowControl/>
        <w:numPr>
          <w:ilvl w:val="0"/>
          <w:numId w:val="8"/>
        </w:numPr>
        <w:spacing w:before="120" w:after="240" w:line="276" w:lineRule="auto"/>
        <w:ind w:right="-285"/>
      </w:pPr>
      <w:r>
        <w:t>El transporte interior en obra, incluso carga y descarga del mismo.</w:t>
      </w:r>
    </w:p>
    <w:p w:rsidR="00C7085E" w:rsidRDefault="00C7085E" w:rsidP="00B71B1A">
      <w:pPr>
        <w:widowControl/>
        <w:numPr>
          <w:ilvl w:val="0"/>
          <w:numId w:val="8"/>
        </w:numPr>
        <w:spacing w:before="120" w:after="240" w:line="276" w:lineRule="auto"/>
        <w:ind w:right="-285"/>
      </w:pPr>
      <w:r>
        <w:t>La carga, transporte y descarga a vertedero, sea cual sea la distancia.</w:t>
      </w:r>
    </w:p>
    <w:p w:rsidR="00C7085E" w:rsidRDefault="00C7085E" w:rsidP="00B71B1A">
      <w:pPr>
        <w:widowControl/>
        <w:numPr>
          <w:ilvl w:val="0"/>
          <w:numId w:val="8"/>
        </w:numPr>
        <w:spacing w:before="120" w:after="240" w:line="276" w:lineRule="auto"/>
        <w:ind w:right="-285"/>
      </w:pPr>
      <w:r>
        <w:t>El canon de vertido, los permisos necesarios, etc.</w:t>
      </w:r>
    </w:p>
    <w:p w:rsidR="00C7085E" w:rsidRDefault="00C7085E" w:rsidP="00B71B1A">
      <w:pPr>
        <w:spacing w:before="120" w:after="240" w:line="276" w:lineRule="auto"/>
        <w:ind w:right="-285"/>
      </w:pPr>
      <w:r>
        <w:t>Estos conceptos se medirán y abonarán de acuerdo a los precios que figuren en el capítulo del Presupuesto correspondiente a la gestión de residuos de construcción y demolición.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6" w:name="_Toc389737896"/>
      <w:bookmarkStart w:id="87" w:name="_Toc414021761"/>
      <w:bookmarkStart w:id="88" w:name="_Toc448741383"/>
      <w:r>
        <w:t>D</w:t>
      </w:r>
      <w:bookmarkEnd w:id="86"/>
      <w:r>
        <w:t>emoliciones</w:t>
      </w:r>
      <w:bookmarkEnd w:id="87"/>
      <w:bookmarkEnd w:id="88"/>
    </w:p>
    <w:p w:rsidR="00C7085E" w:rsidRDefault="00C7085E" w:rsidP="00B71B1A">
      <w:pPr>
        <w:spacing w:before="120" w:after="240" w:line="276" w:lineRule="auto"/>
        <w:ind w:right="-285"/>
      </w:pPr>
      <w:r>
        <w:t>Se define como demolición la operación de derribo de todas las construcciones o elementos constructivos, tales como firmes, acequias, edificios, fábricas de cualquier tipo u otros, que sea necesario eliminar para la adecuada ejecución de las obras. Incluye las siguientes operaciones:</w:t>
      </w:r>
    </w:p>
    <w:p w:rsidR="00C7085E" w:rsidRDefault="00C7085E" w:rsidP="00B71B1A">
      <w:pPr>
        <w:widowControl/>
        <w:numPr>
          <w:ilvl w:val="0"/>
          <w:numId w:val="8"/>
        </w:numPr>
        <w:suppressAutoHyphens/>
        <w:spacing w:before="120" w:after="240" w:line="276" w:lineRule="auto"/>
        <w:ind w:left="714" w:right="-285" w:hanging="357"/>
      </w:pPr>
      <w:r>
        <w:t>Trabajos de preparación y de protección.</w:t>
      </w:r>
    </w:p>
    <w:p w:rsidR="00C7085E" w:rsidRDefault="00C7085E" w:rsidP="00B71B1A">
      <w:pPr>
        <w:widowControl/>
        <w:numPr>
          <w:ilvl w:val="0"/>
          <w:numId w:val="8"/>
        </w:numPr>
        <w:suppressAutoHyphens/>
        <w:spacing w:before="120" w:after="240" w:line="276" w:lineRule="auto"/>
        <w:ind w:left="714" w:right="-285" w:hanging="357"/>
      </w:pPr>
      <w:r>
        <w:t>Derribo, fragmentación o desmontaje de las construcciones.</w:t>
      </w:r>
    </w:p>
    <w:p w:rsidR="00C7085E" w:rsidRDefault="00C7085E" w:rsidP="00B71B1A">
      <w:pPr>
        <w:widowControl/>
        <w:numPr>
          <w:ilvl w:val="0"/>
          <w:numId w:val="8"/>
        </w:numPr>
        <w:suppressAutoHyphens/>
        <w:spacing w:before="120" w:after="240" w:line="276" w:lineRule="auto"/>
        <w:ind w:left="714" w:right="-285" w:hanging="357"/>
      </w:pPr>
      <w:r>
        <w:t>Retirada de materiales resultantes a vertedero, o a su lugar de empleo, así como su acopio definitivo o provisional.</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Estudio de la demolición</w:t>
      </w:r>
    </w:p>
    <w:p w:rsidR="00C7085E" w:rsidRDefault="00C7085E" w:rsidP="00B71B1A">
      <w:pPr>
        <w:spacing w:before="120" w:after="240" w:line="276" w:lineRule="auto"/>
        <w:ind w:right="-285"/>
      </w:pPr>
      <w:r>
        <w:t>Previamente a los trabajos de demolición se elaborará un estudio de demolición, que deberá ser sometido a la aprobación de la Dirección de Obra, siendo el Adjudicatario responsable del contenido de dicho estudio y de su correcta ejecución.</w:t>
      </w:r>
    </w:p>
    <w:p w:rsidR="00C7085E" w:rsidRDefault="00C7085E" w:rsidP="00B71B1A">
      <w:pPr>
        <w:spacing w:before="120" w:after="240" w:line="276" w:lineRule="auto"/>
        <w:ind w:right="-285"/>
      </w:pPr>
      <w:r>
        <w:t>En el estudio de demolición deberán definirse como mínimo:</w:t>
      </w:r>
    </w:p>
    <w:p w:rsidR="00C7085E" w:rsidRDefault="00C7085E" w:rsidP="00B71B1A">
      <w:pPr>
        <w:widowControl/>
        <w:numPr>
          <w:ilvl w:val="0"/>
          <w:numId w:val="8"/>
        </w:numPr>
        <w:suppressAutoHyphens/>
        <w:spacing w:before="120" w:after="240" w:line="276" w:lineRule="auto"/>
        <w:ind w:left="714" w:right="-285" w:hanging="357"/>
      </w:pPr>
      <w:r>
        <w:t>Métodos de demolición y etapas de su aplicación.</w:t>
      </w:r>
    </w:p>
    <w:p w:rsidR="00C7085E" w:rsidRDefault="00C7085E" w:rsidP="00B71B1A">
      <w:pPr>
        <w:widowControl/>
        <w:numPr>
          <w:ilvl w:val="0"/>
          <w:numId w:val="8"/>
        </w:numPr>
        <w:suppressAutoHyphens/>
        <w:spacing w:before="120" w:after="240" w:line="276" w:lineRule="auto"/>
        <w:ind w:left="714" w:right="-285" w:hanging="357"/>
      </w:pPr>
      <w:r>
        <w:lastRenderedPageBreak/>
        <w:t>Estabilidad de las construcciones remanentes en cada etapa, así como los apeos y cimbras necesarios.</w:t>
      </w:r>
    </w:p>
    <w:p w:rsidR="00C7085E" w:rsidRDefault="00C7085E" w:rsidP="00B71B1A">
      <w:pPr>
        <w:widowControl/>
        <w:numPr>
          <w:ilvl w:val="0"/>
          <w:numId w:val="8"/>
        </w:numPr>
        <w:suppressAutoHyphens/>
        <w:spacing w:before="120" w:after="240" w:line="276" w:lineRule="auto"/>
        <w:ind w:left="714" w:right="-285" w:hanging="357"/>
      </w:pPr>
      <w:r>
        <w:t>Estabilidad y protección de construcciones remanentes que no vayan a ser demolidas.</w:t>
      </w:r>
    </w:p>
    <w:p w:rsidR="00C7085E" w:rsidRDefault="00C7085E" w:rsidP="00B71B1A">
      <w:pPr>
        <w:widowControl/>
        <w:numPr>
          <w:ilvl w:val="0"/>
          <w:numId w:val="8"/>
        </w:numPr>
        <w:suppressAutoHyphens/>
        <w:spacing w:before="120" w:after="240" w:line="276" w:lineRule="auto"/>
        <w:ind w:left="714" w:right="-285" w:hanging="357"/>
      </w:pPr>
      <w:r>
        <w:t>Protección de las construcciones e instalaciones del entorno.</w:t>
      </w:r>
    </w:p>
    <w:p w:rsidR="00C7085E" w:rsidRDefault="00C7085E" w:rsidP="00B71B1A">
      <w:pPr>
        <w:widowControl/>
        <w:numPr>
          <w:ilvl w:val="0"/>
          <w:numId w:val="8"/>
        </w:numPr>
        <w:suppressAutoHyphens/>
        <w:spacing w:before="120" w:after="240" w:line="276" w:lineRule="auto"/>
        <w:ind w:left="714" w:right="-285" w:hanging="357"/>
      </w:pPr>
      <w:r>
        <w:t>Mantenimiento o sustitución provisional de servicios afectados por la demolición.</w:t>
      </w:r>
    </w:p>
    <w:p w:rsidR="00C7085E" w:rsidRDefault="00C7085E" w:rsidP="00B71B1A">
      <w:pPr>
        <w:widowControl/>
        <w:numPr>
          <w:ilvl w:val="0"/>
          <w:numId w:val="8"/>
        </w:numPr>
        <w:suppressAutoHyphens/>
        <w:spacing w:before="120" w:after="240" w:line="276" w:lineRule="auto"/>
        <w:ind w:left="714" w:right="-285" w:hanging="357"/>
      </w:pPr>
      <w:r>
        <w:t>Medios de evacuación y definición de zonas de vertido de los productos de la demolición.</w:t>
      </w:r>
    </w:p>
    <w:p w:rsidR="00C7085E" w:rsidRDefault="00C7085E" w:rsidP="00B71B1A">
      <w:pPr>
        <w:widowControl/>
        <w:numPr>
          <w:ilvl w:val="0"/>
          <w:numId w:val="8"/>
        </w:numPr>
        <w:suppressAutoHyphens/>
        <w:spacing w:before="120" w:after="240" w:line="276" w:lineRule="auto"/>
        <w:ind w:left="714" w:right="-285" w:hanging="357"/>
      </w:pPr>
      <w:r>
        <w:t>Cronogramas de trabajos.</w:t>
      </w:r>
    </w:p>
    <w:p w:rsidR="00C7085E" w:rsidRDefault="00C7085E" w:rsidP="00B71B1A">
      <w:pPr>
        <w:widowControl/>
        <w:numPr>
          <w:ilvl w:val="0"/>
          <w:numId w:val="8"/>
        </w:numPr>
        <w:suppressAutoHyphens/>
        <w:spacing w:before="120" w:after="240" w:line="276" w:lineRule="auto"/>
        <w:ind w:left="714" w:right="-285" w:hanging="357"/>
      </w:pPr>
      <w:r>
        <w:t>Pautas de control.</w:t>
      </w:r>
    </w:p>
    <w:p w:rsidR="00C7085E" w:rsidRDefault="00C7085E" w:rsidP="00B71B1A">
      <w:pPr>
        <w:widowControl/>
        <w:numPr>
          <w:ilvl w:val="0"/>
          <w:numId w:val="8"/>
        </w:numPr>
        <w:suppressAutoHyphens/>
        <w:spacing w:before="120" w:after="240" w:line="276" w:lineRule="auto"/>
        <w:ind w:left="714" w:right="-285" w:hanging="357"/>
      </w:pPr>
      <w:r>
        <w:t>Medidas de seguridad y salud.</w:t>
      </w:r>
    </w:p>
    <w:p w:rsidR="00C7085E" w:rsidRDefault="00C7085E" w:rsidP="00B71B1A">
      <w:pPr>
        <w:spacing w:before="120" w:after="240" w:line="276" w:lineRule="auto"/>
        <w:ind w:right="-285"/>
      </w:pPr>
      <w:r>
        <w:t>En función de la entidad de los elementos a demoler la Dirección de Obra podrá reducir, a su juicio, el contenido del estudio a realizar. Se estará, en todo caso, a lo dispuesto en la legislación vigente en materia medioambiental, de seguridad y salud, y de gestión de residuos.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89" w:name="_Toc389737897"/>
      <w:r>
        <w:t>Ejecución</w:t>
      </w:r>
      <w:bookmarkEnd w:id="89"/>
    </w:p>
    <w:p w:rsidR="00C7085E" w:rsidRDefault="00C7085E" w:rsidP="00B71B1A">
      <w:pPr>
        <w:spacing w:before="120" w:after="240" w:line="276" w:lineRule="auto"/>
        <w:ind w:right="-285"/>
      </w:pPr>
      <w:r>
        <w:t>El Adjudicatario será responsable de la adopción de todas las medidas de seguridad y del cumplimiento de las disposiciones vigentes al efectuar las operaciones de derribo, así como de evitar que se produzcan daños, molestias o perjuicios a las construcciones, bienes o personas próximas y del entorno, sin perjuicio de su obligación de cumplir las instrucciones que eventualmente dicte la Dirección de Obra. En el caso de que sea necesario conservar intactos algunos elementos para su aprovechamiento posterior, estos serán designados por la Dirección de Obra, así como las condiciones de transporte y acopio de los mismos. En cualquier caso, el Adjudicatario requerirá autorización expresa para comenzar los derribos.</w:t>
      </w:r>
    </w:p>
    <w:p w:rsidR="00C7085E" w:rsidRDefault="00C7085E" w:rsidP="00B71B1A">
      <w:pPr>
        <w:spacing w:before="120" w:after="240" w:line="276" w:lineRule="auto"/>
        <w:ind w:right="-285"/>
      </w:pPr>
      <w:r>
        <w:t>Antes de iniciar la demolición se neutralizarán las acometidas de las instalaciones, de acuerdo con las entidades administradoras o propietarias de las mismas. Se deberá prestar especial atención a las conducciones eléctricas y de gas que estén enterradas.</w:t>
      </w:r>
    </w:p>
    <w:p w:rsidR="00C7085E" w:rsidRDefault="00C7085E" w:rsidP="00B71B1A">
      <w:pPr>
        <w:spacing w:before="120" w:after="240" w:line="276" w:lineRule="auto"/>
        <w:ind w:right="-285"/>
      </w:pPr>
      <w:r>
        <w:t xml:space="preserve">La profundidad de la demolición será como mínimo de cincuenta centímetros (50 cm) por debajo de la cota más baja del relleno o desmonte, salvo indicación en contra del Proyecto o de la Dirección de Obra. Todos los huecos que queden por debajo de esta cota deberán rellenarse. </w:t>
      </w:r>
    </w:p>
    <w:p w:rsidR="00C7085E" w:rsidRDefault="00C7085E" w:rsidP="00B71B1A">
      <w:pPr>
        <w:spacing w:before="120" w:after="240" w:line="276" w:lineRule="auto"/>
        <w:ind w:right="-285"/>
      </w:pPr>
      <w:r>
        <w:t>Los materiales quedarán suficientemente troceados y apilados para facilitar la carga, en función de los medios que se dispongan y de las condiciones de transporte.</w:t>
      </w:r>
    </w:p>
    <w:p w:rsidR="00C7085E" w:rsidRDefault="00C7085E" w:rsidP="00B71B1A">
      <w:pPr>
        <w:spacing w:before="120" w:after="240" w:line="276" w:lineRule="auto"/>
        <w:ind w:right="-285"/>
      </w:pPr>
      <w:r>
        <w:t xml:space="preserve">La gestión del material demolido se efectuará según lo recogido en el Anejo de Plan de </w:t>
      </w:r>
      <w:r>
        <w:lastRenderedPageBreak/>
        <w:t>Gestión de Residuos, o, en su defecto, según la legislación vigente. En caso de indefinición, los materiales no utilizables se llevarán a gestor de residuos o vertedero autorizado y los materiales utilizables se pondrán a disposición de Canal de Isabel II Gestión.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demoliciones de cimentaciones, soleras y edificaciones se medirán por metros cúbicos (m</w:t>
      </w:r>
      <w:r>
        <w:rPr>
          <w:vertAlign w:val="superscript"/>
        </w:rPr>
        <w:t>3</w:t>
      </w:r>
      <w:r>
        <w:t>) y se abonarán, en función del tipo de elemento a demoler y de los medios empleados, aplicando el precio que corresponda de los que figuren en el Cuadro de Precios vigente de Canal de Isabel II Gestión.</w:t>
      </w:r>
    </w:p>
    <w:p w:rsidR="00C7085E" w:rsidRDefault="00C7085E" w:rsidP="00B71B1A">
      <w:pPr>
        <w:spacing w:before="120" w:after="240" w:line="276" w:lineRule="auto"/>
        <w:ind w:right="-285"/>
      </w:pPr>
      <w:r>
        <w:t>En el caso de demoliciones de tapias, cercas y cubiertas, así como para el levantamiento de firmes, solados, adoquines, aceras, etc., la medición se realizará por metros cuadrados (m</w:t>
      </w:r>
      <w:r>
        <w:rPr>
          <w:vertAlign w:val="superscript"/>
        </w:rPr>
        <w:t>2</w:t>
      </w:r>
      <w:r>
        <w:t>) de superficie levantada, y se abonarán, en función del tipo de elemento a demoler y de los medios empleados, aplicando el precio que corresponda de los que figuren en el Cuadro de Precios vigente de Canal de Isabel II Gestión.</w:t>
      </w:r>
    </w:p>
    <w:p w:rsidR="00C7085E" w:rsidRDefault="00C7085E" w:rsidP="00B71B1A">
      <w:pPr>
        <w:spacing w:before="120" w:after="240" w:line="276" w:lineRule="auto"/>
        <w:ind w:right="-285"/>
      </w:pPr>
      <w:r>
        <w:t>Las demoliciones de bordillos y alambradas se medirán por metros (m) de elemento levantado y se abonarán al precio que corresponda de los que figuren en el Cuadro de Precios vigente de Canal de Isabel II Gestión.</w:t>
      </w:r>
    </w:p>
    <w:p w:rsidR="00C7085E" w:rsidRDefault="00C7085E" w:rsidP="00B71B1A">
      <w:pPr>
        <w:spacing w:before="120" w:after="240" w:line="276" w:lineRule="auto"/>
        <w:ind w:right="-285"/>
      </w:pPr>
      <w:r>
        <w:t>En dichos precios no se consideran incluidos: la selección y separación de escombros, el acopio temporal, la carga y transporte a vertedero, centro de selección o gestor de residuos, ni los cánones de gestión o vertido. Estos conceptos se medirán y abonarán de acuerdo a los precios que figuren en el capítulo del Presupuesto correspondiente a la gestión de residuos de construcción y demolición.</w:t>
      </w:r>
    </w:p>
    <w:p w:rsidR="00C7085E" w:rsidRDefault="00C7085E" w:rsidP="00B71B1A">
      <w:pPr>
        <w:spacing w:before="120" w:after="240" w:line="276" w:lineRule="auto"/>
        <w:ind w:right="-285"/>
      </w:pPr>
      <w:r>
        <w:t>El precio de demolición de elementos de fibrocemento incluye su ejecución según la legislación vigente (</w:t>
      </w:r>
      <w:r>
        <w:rPr>
          <w:i/>
        </w:rPr>
        <w:t>Real Decreto 396/2006, de 31 de marzo, por el que se establecen las disposiciones mínimas de seguridad y salud aplicables a los trabajos con riesgo de exposición al amianto</w:t>
      </w:r>
      <w:r>
        <w:t>).</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90" w:name="_Toc389737899"/>
      <w:bookmarkStart w:id="91" w:name="_Toc414021762"/>
      <w:bookmarkStart w:id="92" w:name="_Toc448741384"/>
      <w:r>
        <w:t>Excavaciones de explanación, vaciado y emplazamiento de obras</w:t>
      </w:r>
      <w:bookmarkEnd w:id="90"/>
      <w:r>
        <w:t xml:space="preserve"> (excavaciones a cielo abierto)</w:t>
      </w:r>
      <w:bookmarkEnd w:id="91"/>
      <w:bookmarkEnd w:id="92"/>
    </w:p>
    <w:p w:rsidR="00C7085E" w:rsidRDefault="00C7085E" w:rsidP="00B71B1A">
      <w:pPr>
        <w:spacing w:before="120" w:after="240" w:line="276" w:lineRule="auto"/>
        <w:ind w:right="-285"/>
      </w:pPr>
      <w:r>
        <w:t>Consiste en el conjunto de operaciones para excavar y nivelar las zonas donde han de asentarse las obras, así como las zonas de préstamos.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93" w:name="_Toc389737900"/>
      <w:r>
        <w:t>Ejecución</w:t>
      </w:r>
      <w:bookmarkEnd w:id="93"/>
    </w:p>
    <w:p w:rsidR="00C7085E" w:rsidRDefault="00C7085E" w:rsidP="00B71B1A">
      <w:pPr>
        <w:spacing w:before="120" w:after="240" w:line="276" w:lineRule="auto"/>
        <w:ind w:right="-285"/>
      </w:pPr>
      <w:r>
        <w:t>La ejecución de este tipo de excavación deberá ajustarse a las prescripciones exigidas en el artículo 320.3</w:t>
      </w:r>
      <w:r>
        <w:rPr>
          <w:i/>
        </w:rPr>
        <w:t xml:space="preserve"> </w:t>
      </w:r>
      <w:r>
        <w:t>del Pliego de Prescripciones Técnicas Generales para Obras de Carreteras y Puentes (PG-3). Se ajustarán a las dimensiones y perfiles que constan en el Proyecto, así como a los datos fijados en el replanteo y en su defecto a las normas que dicte la Dirección de Obra.</w:t>
      </w:r>
    </w:p>
    <w:p w:rsidR="00DF30E5" w:rsidRDefault="00DF30E5" w:rsidP="00B71B1A">
      <w:pPr>
        <w:spacing w:before="120" w:after="240" w:line="276" w:lineRule="auto"/>
        <w:ind w:right="-285"/>
      </w:pP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94" w:name="_Toc389737901"/>
      <w:r>
        <w:lastRenderedPageBreak/>
        <w:t>Control de calidad</w:t>
      </w:r>
      <w:bookmarkEnd w:id="94"/>
    </w:p>
    <w:p w:rsidR="00C7085E" w:rsidRDefault="00C7085E" w:rsidP="00B71B1A">
      <w:pPr>
        <w:spacing w:before="120" w:after="240" w:line="276" w:lineRule="auto"/>
        <w:ind w:right="-285"/>
      </w:pPr>
      <w:r>
        <w:t>Las obras de excavación se ajustarán a las alineaciones, pendientes y dimensiones indicadas en los planos de Proyecto, con las modificaciones debidas a los excesos inevitables autorizados y deberán refinarse hasta conseguir una diferencia inferior a diez centímetros (10 cm) respecto de las superficies teóricas. La superficie deberá quedar perfectamente saneada.</w:t>
      </w:r>
    </w:p>
    <w:p w:rsidR="00C7085E" w:rsidRDefault="00C7085E" w:rsidP="00B71B1A">
      <w:pPr>
        <w:spacing w:before="120" w:after="240" w:line="276" w:lineRule="auto"/>
        <w:ind w:right="-285"/>
      </w:pPr>
      <w:r>
        <w:t>Las sobreexcavaciones no autorizadas deberán rellenarse de acuerdo a las especificaciones establecidas por la Dirección de Obra.</w:t>
      </w:r>
    </w:p>
    <w:p w:rsidR="00C7085E" w:rsidRDefault="00C7085E" w:rsidP="00B71B1A">
      <w:pPr>
        <w:spacing w:before="120" w:after="240" w:line="276" w:lineRule="auto"/>
        <w:ind w:right="-285"/>
      </w:pPr>
      <w:r>
        <w:t>En ningún caso se admitirán tolerancias por defecto en las excavaciones para la explanación y emplazamiento de las obras.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95" w:name="_Toc389737902"/>
      <w:r>
        <w:t>Medición y abono</w:t>
      </w:r>
      <w:bookmarkEnd w:id="95"/>
    </w:p>
    <w:p w:rsidR="00C7085E" w:rsidRDefault="00C7085E" w:rsidP="00B71B1A">
      <w:pPr>
        <w:spacing w:before="120" w:after="240" w:line="276" w:lineRule="auto"/>
        <w:ind w:right="-285"/>
      </w:pPr>
      <w:r>
        <w:t>En el caso de explanaciones, la excavación se abonará por metros cúbicos (m</w:t>
      </w:r>
      <w:r>
        <w:rPr>
          <w:vertAlign w:val="superscript"/>
        </w:rPr>
        <w:t>3</w:t>
      </w:r>
      <w:r>
        <w:t xml:space="preserve">) medidos sobre perfil. </w:t>
      </w:r>
    </w:p>
    <w:p w:rsidR="00C7085E" w:rsidRDefault="00C7085E" w:rsidP="00B71B1A">
      <w:pPr>
        <w:spacing w:before="120" w:after="240" w:line="276" w:lineRule="auto"/>
        <w:ind w:right="-285"/>
      </w:pPr>
      <w:r>
        <w:t>En el precio se incluyen los procesos de formación de los posibles caballeros y todas las operaciones necesarias, excepto agotamientos, y costos asociados para la completa ejecución de la unidad.</w:t>
      </w:r>
    </w:p>
    <w:p w:rsidR="00C7085E" w:rsidRDefault="00C7085E" w:rsidP="00B71B1A">
      <w:pPr>
        <w:spacing w:before="120" w:after="240" w:line="276" w:lineRule="auto"/>
        <w:ind w:right="-285"/>
      </w:pPr>
      <w:r>
        <w:t>La Dirección de Obra podrá obligar al Adjudicatario a rellenar las sobreexcavaciones realizadas, con las especificaciones que aquél estime oportunas, no siendo esta operación de abono.</w:t>
      </w:r>
    </w:p>
    <w:p w:rsidR="00C7085E" w:rsidRDefault="00C7085E" w:rsidP="00B71B1A">
      <w:pPr>
        <w:spacing w:before="120" w:after="240" w:line="276" w:lineRule="auto"/>
        <w:ind w:right="-285"/>
      </w:pPr>
      <w:r>
        <w:t>Todas las excavaciones se medirán una vez realizadas y antes de que sobre ellas se efectúe ningún tipo de relleno. En el caso de que el Adjudicatario cerrase la excavación antes de conformada la medición se entenderá que se aviene a lo que unilateralmente determine la Dirección de Obra.</w:t>
      </w:r>
    </w:p>
    <w:p w:rsidR="00C7085E" w:rsidRDefault="00C7085E" w:rsidP="00B71B1A">
      <w:pPr>
        <w:spacing w:before="120" w:after="240" w:line="276" w:lineRule="auto"/>
        <w:ind w:right="-285"/>
      </w:pPr>
      <w:r>
        <w:t>Las excavaciones a cielo abierto se abonarán, en función los medios de ejecución empleados y del tipo de terreno, aplicando el precio que corresponda de los que figuren en el Cuadro de Precios vigente de Canal de Isabel II Gestión.</w:t>
      </w:r>
    </w:p>
    <w:p w:rsidR="00C7085E" w:rsidRDefault="00C7085E" w:rsidP="00B71B1A">
      <w:pPr>
        <w:spacing w:before="120" w:after="240" w:line="276" w:lineRule="auto"/>
        <w:ind w:right="-285"/>
      </w:pPr>
      <w:r>
        <w:t>En dichos precios no se considerará incluida la carga, el transporte a vertedero o lugar de empleo, la descarga, ni el canon de vertido, los cuales se medirán y abonarán mediante las unidades que figuren en el capítulo del Presupuesto correspondiente a la gestión de residuos de construcción y demolición</w:t>
      </w:r>
      <w:proofErr w:type="gramStart"/>
      <w:r>
        <w:t>..</w:t>
      </w:r>
      <w:proofErr w:type="gramEnd"/>
    </w:p>
    <w:p w:rsidR="00C7085E" w:rsidRDefault="00C7085E" w:rsidP="00B71B1A">
      <w:pPr>
        <w:spacing w:before="120" w:after="240" w:line="276" w:lineRule="auto"/>
        <w:ind w:right="-285"/>
      </w:pPr>
      <w:r>
        <w:t>Tampoco se considera incluido en el precio, el refino, nivelación y apisonado de explanada, aspectos que se medirán por metro cuadrado (m</w:t>
      </w:r>
      <w:r>
        <w:rPr>
          <w:vertAlign w:val="superscript"/>
        </w:rPr>
        <w:t>2</w:t>
      </w:r>
      <w:r>
        <w:t>) de explanada y se abonarán al precio que corresponda de los que figuren en el Cuadro de Precios vigente de Canal de Isabel II Gestión.</w:t>
      </w:r>
    </w:p>
    <w:p w:rsidR="00DF30E5" w:rsidRDefault="00DF30E5" w:rsidP="00B71B1A">
      <w:pPr>
        <w:spacing w:before="120" w:after="240" w:line="276" w:lineRule="auto"/>
        <w:ind w:right="-285"/>
      </w:pPr>
    </w:p>
    <w:p w:rsidR="00DF30E5" w:rsidRDefault="00DF30E5"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96" w:name="_Toc389737903"/>
      <w:bookmarkStart w:id="97" w:name="_Toc414021763"/>
      <w:bookmarkStart w:id="98" w:name="_Toc448741385"/>
      <w:r>
        <w:lastRenderedPageBreak/>
        <w:t>E</w:t>
      </w:r>
      <w:bookmarkEnd w:id="96"/>
      <w:r>
        <w:t>xcavaciones en zanjas y pozos</w:t>
      </w:r>
      <w:bookmarkEnd w:id="97"/>
      <w:bookmarkEnd w:id="98"/>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99" w:name="_Toc389737904"/>
      <w:r>
        <w:t>Ejecución</w:t>
      </w:r>
      <w:bookmarkEnd w:id="99"/>
    </w:p>
    <w:p w:rsidR="00C7085E" w:rsidRDefault="00C7085E" w:rsidP="00B71B1A">
      <w:pPr>
        <w:spacing w:before="120" w:after="240" w:line="276" w:lineRule="auto"/>
        <w:ind w:right="-285"/>
      </w:pPr>
      <w:r>
        <w:t>La ejecución de excavaciones en zanjas y pozos se ajustará a las prescripciones establecidas en el artículo 321.3 del Pliego de Prescripciones Técnicas Generales para Obras de Carreteras y Puentes (PG-3).</w:t>
      </w:r>
    </w:p>
    <w:p w:rsidR="00C7085E" w:rsidRDefault="00C7085E" w:rsidP="00B71B1A">
      <w:pPr>
        <w:spacing w:before="120" w:after="240" w:line="276" w:lineRule="auto"/>
        <w:ind w:right="-285"/>
      </w:pPr>
      <w:r>
        <w:t>La excavación se hará de manera que se minimicen las líneas quebradas, procurando tramos de pendiente uniforme de la mayor longitud posible. La pendiente de la zanja será, la indicada en el Proyecto.</w:t>
      </w:r>
    </w:p>
    <w:p w:rsidR="00C7085E" w:rsidRDefault="00C7085E" w:rsidP="00B71B1A">
      <w:pPr>
        <w:spacing w:before="120" w:after="240" w:line="276" w:lineRule="auto"/>
        <w:ind w:right="-285"/>
      </w:pPr>
      <w:r>
        <w:t>El fondo de las zanjas deberá tener una capacidad portante superior a cinco Newton por centímetro cuadrado (5 N/cm</w:t>
      </w:r>
      <w:r>
        <w:rPr>
          <w:vertAlign w:val="superscript"/>
        </w:rPr>
        <w:t>2</w:t>
      </w:r>
      <w:r>
        <w:t>). En caso contrario, la Dirección de Obra podrá solicitar la mejora del terreno mediante técnicas de sustitución o modificación. Para la sustitución, se procederá a retirar el material inadecuado y a la colocación de material seleccionado, como arena, grava o zahorra, de tamaño máximo treinta milímetros (30 mm).</w:t>
      </w:r>
    </w:p>
    <w:p w:rsidR="00C7085E" w:rsidRDefault="00C7085E" w:rsidP="00B71B1A">
      <w:pPr>
        <w:spacing w:before="120" w:after="240" w:line="276" w:lineRule="auto"/>
        <w:ind w:right="-285"/>
      </w:pPr>
      <w:r>
        <w:t>Para la modificación o consolidación del terreno se añadirá material seleccionado al suelo original, tales como zahorras, arenas y otros materiales inertes con un tamaño máximo de árido de treinta milímetros (30 mm) y se procederá a su compactación.</w:t>
      </w:r>
    </w:p>
    <w:p w:rsidR="00C7085E" w:rsidRDefault="00C7085E" w:rsidP="00B71B1A">
      <w:pPr>
        <w:spacing w:before="120" w:after="240" w:line="276" w:lineRule="auto"/>
        <w:ind w:right="-285"/>
      </w:pPr>
      <w:r>
        <w:t>El Adjudicatario deberá proteger en su caso las paredes de las zanjas mediante las entibaciones y acodamientos que garanticen su permanencia inalterable hasta el relleno total de la excavación o pozo, siendo de su plena responsabilidad la retirada de los desprendimientos que pudieran originarse y los rellenos consiguientes.</w:t>
      </w:r>
    </w:p>
    <w:p w:rsidR="00C7085E" w:rsidRDefault="00C7085E" w:rsidP="00B71B1A">
      <w:pPr>
        <w:spacing w:before="120" w:after="240" w:line="276" w:lineRule="auto"/>
        <w:ind w:right="-285"/>
      </w:pPr>
      <w:r>
        <w:t>Las excavaciones se ejecutarán ajustándose a las dimensiones y perfilado que consten en el Proyecto o que indique la Dirección de Obra. Los sobreanchos de excavación necesarios para la ejecución de la obra deberán estar contemplados en el Proyecto o, en su defecto, deberán ser aprobados, en cada caso, por la Dirección de Obra.</w:t>
      </w:r>
    </w:p>
    <w:p w:rsidR="00C7085E" w:rsidRDefault="00C7085E" w:rsidP="00B71B1A">
      <w:pPr>
        <w:spacing w:before="120" w:after="240" w:line="276" w:lineRule="auto"/>
        <w:ind w:right="-285"/>
      </w:pPr>
      <w:r>
        <w:t>Los productos de excavación aprovechables para el relleno posterior de la excavación se depositarán en caballeros situados a un solo lado de la zanja, dejando una banqueta de ancho igual o superior a un metro y medio (1,5 m).</w:t>
      </w:r>
    </w:p>
    <w:p w:rsidR="00C7085E" w:rsidRDefault="00C7085E" w:rsidP="00B71B1A">
      <w:pPr>
        <w:spacing w:before="120" w:after="240" w:line="276" w:lineRule="auto"/>
        <w:ind w:right="-285"/>
      </w:pPr>
      <w:r>
        <w:t xml:space="preserve">No se procederá al relleno de zanjas o excavaciones, sin el previo reconocimiento de las mismas y la autorización de la Dirección de Obra.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100" w:name="_Toc389737905"/>
      <w:r>
        <w:t>Control de calidad</w:t>
      </w:r>
      <w:bookmarkEnd w:id="100"/>
    </w:p>
    <w:p w:rsidR="00C7085E" w:rsidRDefault="00C7085E" w:rsidP="00B71B1A">
      <w:pPr>
        <w:spacing w:before="120" w:after="240" w:line="276" w:lineRule="auto"/>
        <w:ind w:right="-285"/>
      </w:pPr>
      <w:bookmarkStart w:id="101" w:name="_Toc389737906"/>
      <w:r>
        <w:t>Las zanjas y pozos terminados tendrán la forma y dimensiones exigidas en los planos del Proyecto, con las modificaciones debidas a los excesos inevitables autorizados, y deberán refinarse hasta conseguir una diferencia inferior a cinco centímetros (5 cm) respecto de las superficies teóricas.</w:t>
      </w:r>
    </w:p>
    <w:p w:rsidR="00C7085E" w:rsidRDefault="00C7085E" w:rsidP="00B71B1A">
      <w:pPr>
        <w:spacing w:before="120" w:after="240" w:line="276" w:lineRule="auto"/>
        <w:ind w:right="-285"/>
      </w:pPr>
      <w:r>
        <w:t>Las sobreexcavaciones no autorizadas deberán rellenarse de acuerdo con las especificaciones definidas por la Dirección de Obra.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Medición y abono</w:t>
      </w:r>
      <w:bookmarkEnd w:id="101"/>
    </w:p>
    <w:p w:rsidR="00C7085E" w:rsidRDefault="00C7085E" w:rsidP="00B71B1A">
      <w:pPr>
        <w:spacing w:before="120" w:after="240" w:line="276" w:lineRule="auto"/>
        <w:ind w:right="-285"/>
      </w:pPr>
      <w:r>
        <w:t>La excavación en zanjas o pozos se abonará por metros cúbicos (m</w:t>
      </w:r>
      <w:r>
        <w:rPr>
          <w:vertAlign w:val="superscript"/>
        </w:rPr>
        <w:t>3</w:t>
      </w:r>
      <w:r>
        <w:t>) medidos sobre perfil. Se abonarán los excesos autorizados e inevitables.</w:t>
      </w:r>
    </w:p>
    <w:p w:rsidR="00C7085E" w:rsidRDefault="00C7085E" w:rsidP="00B71B1A">
      <w:pPr>
        <w:spacing w:before="120" w:after="240" w:line="276" w:lineRule="auto"/>
        <w:ind w:right="-285"/>
      </w:pPr>
      <w:r>
        <w:t>No serán de abono los excesos de excavación no autorizados, ni el relleno necesario para reconstruir la sección tipo teórica, por defectos imputables al Adjudicatario, ni las excavaciones y movimientos de tierra considerados en otras unidades de obra.</w:t>
      </w:r>
    </w:p>
    <w:p w:rsidR="00C7085E" w:rsidRDefault="00C7085E" w:rsidP="00B71B1A">
      <w:pPr>
        <w:spacing w:before="120" w:after="240" w:line="276" w:lineRule="auto"/>
        <w:ind w:right="-285"/>
      </w:pPr>
      <w:r>
        <w:t>Las excavaciones en zanja se abonarán, en función de los medios empleados y del tipo de terreno, aplicando el precio que corresponda de los que figuren en el Cuadro de Precios vigente de Canal de Isabel II Gestión.</w:t>
      </w:r>
    </w:p>
    <w:p w:rsidR="00C7085E" w:rsidRDefault="00C7085E" w:rsidP="00B71B1A">
      <w:pPr>
        <w:spacing w:before="120" w:after="240" w:line="276" w:lineRule="auto"/>
        <w:ind w:right="-285"/>
      </w:pPr>
      <w:r>
        <w:t>Las excavaciones en pozo se abonarán, en función de los medios empleados y del tipo de terreno, aplicando el precio que corresponda de los que figuren en el Cuadro de Precios vigente de Canal de Isabel II Gestión.</w:t>
      </w:r>
    </w:p>
    <w:p w:rsidR="00C7085E" w:rsidRDefault="00C7085E" w:rsidP="00B71B1A">
      <w:pPr>
        <w:spacing w:before="120" w:after="240" w:line="276" w:lineRule="auto"/>
        <w:ind w:right="-285"/>
      </w:pPr>
      <w:r>
        <w:t>En estos precios no se considerará incluida la carga, el transporte a vertedero o lugar de empleo, la descarga, ni el canon de vertido, los cuales se medirán y abonarán mediante las unidades que figuren en el capítulo del Presupuesto correspondiente a la gestión de residuos de construcción y demolición.</w:t>
      </w:r>
    </w:p>
    <w:p w:rsidR="00C7085E" w:rsidRDefault="00C7085E" w:rsidP="00B71B1A">
      <w:pPr>
        <w:spacing w:before="120" w:after="240" w:line="276" w:lineRule="auto"/>
        <w:ind w:right="-285"/>
      </w:pPr>
      <w:r>
        <w:t>Igualmente, en el precio no se consideran incluidos el refino, la nivelación, apisonado, protección y estabilización de taludes, las entibaciones, los agotamientos necesarios, ni la compactación del fondo de la zanja. Estos aspectos se medirán por metro cuadrado (m</w:t>
      </w:r>
      <w:r>
        <w:rPr>
          <w:vertAlign w:val="superscript"/>
        </w:rPr>
        <w:t>2</w:t>
      </w:r>
      <w:r>
        <w:t>) de superficie y se abonarán mediante la aplicación del precio correspondiente de los que figuren en el Cuadro de Precios vigente de Canal de Isabel II Gestión.</w:t>
      </w:r>
    </w:p>
    <w:p w:rsidR="00C7085E" w:rsidRDefault="00C7085E" w:rsidP="00B71B1A">
      <w:pPr>
        <w:spacing w:before="120" w:after="240" w:line="276" w:lineRule="auto"/>
        <w:ind w:right="-285"/>
      </w:pPr>
      <w:r>
        <w:t>El empleo de maquinaria zanjadora con la autorización de la Dirección de Obra y cuyo mecanismo activo de lugar a una anchura de zanja superior a la proyectada, si bien no dará lugar a sanción por exceso de excavación, tampoco supondrá incremento de medición a favor del Adjudicatario por el mayor volumen excavado ni por el subsiguiente relleno.</w:t>
      </w:r>
    </w:p>
    <w:p w:rsidR="00C7085E" w:rsidRDefault="00C7085E" w:rsidP="00B71B1A">
      <w:pPr>
        <w:spacing w:before="120" w:after="240" w:line="276" w:lineRule="auto"/>
        <w:ind w:right="-285"/>
      </w:pPr>
      <w:r>
        <w:t>Los excesos no justificados de anchura de la excavación en los que están incluidos los desprendimientos que pudieran producirse y su relleno, sobre las medidas fijadas por la Dirección de Obra, no supondrá en ningún caso un incremento de medición a favor del Adjudicatario sin perjuicio de la sanción en que ésta pueda haber incurrido por desobediencia a las órdenes superiores.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02" w:name="_Toc414021764"/>
      <w:bookmarkStart w:id="103" w:name="_Toc448741386"/>
      <w:r>
        <w:t>Excavaciones en mina</w:t>
      </w:r>
      <w:bookmarkEnd w:id="102"/>
      <w:bookmarkEnd w:id="103"/>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 excavación en mina podrá realizarse por medios manuales, medios mecánicos, escarificado o martillo rompedor, con rozadora o con voladura, según las características del terreno.</w:t>
      </w:r>
    </w:p>
    <w:p w:rsidR="00C7085E" w:rsidRDefault="00C7085E" w:rsidP="00B71B1A">
      <w:pPr>
        <w:spacing w:before="120" w:after="240" w:line="276" w:lineRule="auto"/>
        <w:ind w:right="-285"/>
      </w:pPr>
      <w:r>
        <w:t xml:space="preserve">En aquellos casos, en que el volumen a excavar sea pequeño o bien se presenten </w:t>
      </w:r>
      <w:r>
        <w:lastRenderedPageBreak/>
        <w:t>problemas de accesibilidad de la maquinaria y/o vibraciones que imposibiliten o desaconsejen el uso de explosivos u otros métodos, se realizará la excavación mediante el empleo de cementos expansivos.</w:t>
      </w:r>
    </w:p>
    <w:p w:rsidR="00C7085E" w:rsidRDefault="00C7085E" w:rsidP="00B71B1A">
      <w:pPr>
        <w:spacing w:before="120" w:after="240" w:line="276" w:lineRule="auto"/>
        <w:ind w:right="-285"/>
      </w:pPr>
      <w:r>
        <w:t>Los pozos de ataque de la excavación en mina se abrirán a plomo con el eje de la mina que se haya de ejecutar. Su número y situación será determinado en cada caso en el Proyecto, a la vista de la profundidad de la mina, de la naturaleza de los terrenos y de las circunstancias específicas de la obra (existencia de otras canalizaciones, condiciones especiales de tránsito, etc.).</w:t>
      </w:r>
    </w:p>
    <w:p w:rsidR="00C7085E" w:rsidRDefault="00C7085E" w:rsidP="00B71B1A">
      <w:pPr>
        <w:spacing w:before="120" w:after="240" w:line="276" w:lineRule="auto"/>
        <w:ind w:right="-285"/>
      </w:pPr>
      <w:r>
        <w:t>Los pozos destinados únicamente a la ejecución de las obras, extracción de tierras, bajada de materiales y acceso del personal, deberán tener un diámetro mínimo de un metro. También se podrán aprovechar para esta finalidad, los pozos que formen parte de la obra definitiva, tales como pozos de registro, de acceso definitivo, etc. Estos pozos se ejecutarán con las dimensiones que figuren en los planos.</w:t>
      </w:r>
    </w:p>
    <w:p w:rsidR="00C7085E" w:rsidRDefault="00C7085E" w:rsidP="00B71B1A">
      <w:pPr>
        <w:spacing w:before="120" w:after="240" w:line="276" w:lineRule="auto"/>
        <w:ind w:right="-285"/>
      </w:pPr>
      <w:r>
        <w:t>Una vez abiertos los pozos hasta la profundidad necesaria para alcanzar el nivel de la solera de excavación de la conducción, se procederá al minado de las galerías en el tramo comprendido entre cada uno de los pozos.</w:t>
      </w:r>
    </w:p>
    <w:p w:rsidR="00C7085E" w:rsidRDefault="00C7085E" w:rsidP="00B71B1A">
      <w:pPr>
        <w:spacing w:before="120" w:after="240" w:line="276" w:lineRule="auto"/>
        <w:ind w:right="-285"/>
      </w:pPr>
      <w:r>
        <w:t>Cuando las dimensiones de la galería y las conducciones del terreno no permitan realizar la excavación en mina a sección completa, se procederá a establecer una primera comunicación por medio de una pequeña galería de avance, de dimensiones suficientes para el paso de un operario, que deberá estar situada precisamente en el eje de la futura conducción. La excavación definitiva se realizará por cualquier procedimiento que permita efectuarla con las debidas garantías de buena ejecución y seguridad.</w:t>
      </w:r>
    </w:p>
    <w:p w:rsidR="00C7085E" w:rsidRDefault="00C7085E" w:rsidP="00B71B1A">
      <w:pPr>
        <w:spacing w:before="120" w:after="240" w:line="276" w:lineRule="auto"/>
        <w:ind w:right="-285"/>
      </w:pPr>
      <w:r>
        <w:t>Será de cuenta del Adjudicatario la conservación en perfectas condiciones y la reparación, en su caso, de todas las averías causadas por la ejecución de la excavación en las conducciones públicas o privadas de agua, gas, electricidad, teléfonos y otras, que pudieran existir en la zona afectada por las obras. Una vez descubiertas con las debidas precauciones, las citadas conducciones deberán ser sostenidas mediante cables o tablones para evitar su deformación o rotura.</w:t>
      </w:r>
    </w:p>
    <w:p w:rsidR="00C7085E" w:rsidRDefault="00C7085E" w:rsidP="00B71B1A">
      <w:pPr>
        <w:spacing w:before="120" w:after="240" w:line="276" w:lineRule="auto"/>
        <w:ind w:right="-285"/>
      </w:pPr>
      <w:r>
        <w:t>La entibación será completa para garantizar la seguridad de los trabajadores.</w:t>
      </w:r>
    </w:p>
    <w:p w:rsidR="00C7085E" w:rsidRDefault="00C7085E" w:rsidP="00B71B1A">
      <w:pPr>
        <w:spacing w:before="120" w:after="240" w:line="276" w:lineRule="auto"/>
        <w:ind w:right="-285"/>
      </w:pPr>
      <w:r>
        <w:t>Si se requiere el uso de explosivos para la ejecución de la excavación en mina se cumplirá lo especificado para los mismos en el Real Decreto 230/1998, de 16 de febrero, por el que se aprueba el Reglamento de Explosivos.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excavaciones en mina se abonarán, en función de los medios empleados y del tipo de terreno, aplicando el precio que corresponda de los que figuren en el Cuadro de Precios vigente de Canal de Isabel II Gestión.</w:t>
      </w:r>
    </w:p>
    <w:p w:rsidR="00C7085E" w:rsidRDefault="00C7085E" w:rsidP="00B71B1A">
      <w:pPr>
        <w:spacing w:before="120" w:after="240" w:line="276" w:lineRule="auto"/>
        <w:ind w:right="-285"/>
      </w:pPr>
      <w:r>
        <w:t xml:space="preserve">En estos precios no se considerará incluida la carga, el transporte a vertedero o lugar de empleo, la descarga ni el canon de vertido, los cuales se medirán y abonarán mediante las </w:t>
      </w:r>
      <w:r>
        <w:lastRenderedPageBreak/>
        <w:t>unidades que figuren en el capítulo del Presupuesto correspondiente a la gestión de residuos de construcción y demolición.</w:t>
      </w:r>
    </w:p>
    <w:p w:rsidR="00C7085E" w:rsidRDefault="00C7085E" w:rsidP="00B71B1A">
      <w:pPr>
        <w:spacing w:before="120" w:after="240" w:line="276" w:lineRule="auto"/>
        <w:ind w:right="-285"/>
      </w:pPr>
      <w:r>
        <w:t>El arrastre, elevación y/o descenso de los productos de fábrica, de excavación y demolición se medirán por metros cúbicos de material movilizado por metro de galería (m</w:t>
      </w:r>
      <w:r>
        <w:rPr>
          <w:vertAlign w:val="superscript"/>
        </w:rPr>
        <w:t>3</w:t>
      </w:r>
      <w:r>
        <w:t>/m) y se abonarán al precio que corresponda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04" w:name="_Toc414021765"/>
      <w:bookmarkStart w:id="105" w:name="_Toc389737919"/>
      <w:bookmarkStart w:id="106" w:name="_Toc448741387"/>
      <w:r>
        <w:t>Entibaciones</w:t>
      </w:r>
      <w:bookmarkEnd w:id="104"/>
      <w:bookmarkEnd w:id="105"/>
      <w:bookmarkEnd w:id="106"/>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107" w:name="_Toc389737920"/>
      <w:r>
        <w:t>Ejecución</w:t>
      </w:r>
      <w:bookmarkEnd w:id="107"/>
    </w:p>
    <w:p w:rsidR="00C7085E" w:rsidRDefault="00C7085E" w:rsidP="00B71B1A">
      <w:pPr>
        <w:keepNext/>
        <w:keepLines/>
        <w:spacing w:before="120" w:after="240" w:line="276" w:lineRule="auto"/>
        <w:ind w:right="-285"/>
      </w:pPr>
      <w:r>
        <w:t>En aquellos casos en los que por razones de seguridad se considere necesaria la entibación a juicio de la Dirección de Obra, o en bien en aquellos propuestos por el Adjudicatario y aceptados por la Dirección de Obra, las paredes de las zanjas se deberán proteger en su caso mediante las entibaciones y acodalamientos que garanticen su permanencia inalterable hasta el total relleno de la excavación. La entibación se realizará conforme a las recomendaciones que figuren en el Anejo Geotécnico.</w:t>
      </w:r>
    </w:p>
    <w:p w:rsidR="00C7085E" w:rsidRDefault="00C7085E" w:rsidP="00B71B1A">
      <w:pPr>
        <w:spacing w:before="120" w:after="240" w:line="276" w:lineRule="auto"/>
        <w:ind w:right="-285"/>
      </w:pPr>
      <w:r>
        <w:t>El diseño, dimensionamiento y cálculo de la entibación será responsabilidad del Adjudicatario, quién deberá presentar los planos y cálculos justificativos de la misma. En cualquier caso, la resistencia del sistema de entibación deberá ser de al menos treinta kilo Newton por metro cuadrado (30 kN/m</w:t>
      </w:r>
      <w:r>
        <w:rPr>
          <w:vertAlign w:val="superscript"/>
        </w:rPr>
        <w:t>2</w:t>
      </w:r>
      <w:r>
        <w:t>).</w:t>
      </w:r>
    </w:p>
    <w:p w:rsidR="00C7085E" w:rsidRDefault="00C7085E" w:rsidP="00B71B1A">
      <w:pPr>
        <w:spacing w:before="120" w:after="240" w:line="276" w:lineRule="auto"/>
        <w:ind w:right="-285"/>
      </w:pPr>
      <w:r>
        <w:t>Las entibaciones y apeos deberán ser ejecutados por personal especializado (entibadores), no admitiéndose, en ningún caso, salvo en las ayudas al mismo, otro personal no clasificado como tal. Asimismo, el sistema de entibación será conforme con las normas UNE-EN 13331: “</w:t>
      </w:r>
      <w:r>
        <w:rPr>
          <w:i/>
        </w:rPr>
        <w:t>Sistemas de entibación de zanjas</w:t>
      </w:r>
      <w:r>
        <w:t>”, partes 1 y 2.</w:t>
      </w:r>
    </w:p>
    <w:p w:rsidR="00C7085E" w:rsidRDefault="00C7085E" w:rsidP="00B71B1A">
      <w:pPr>
        <w:spacing w:before="120" w:after="240" w:line="276" w:lineRule="auto"/>
        <w:ind w:right="-285"/>
      </w:pPr>
      <w:r>
        <w:t>Será de rigurosa aplicación lo establecido en la vigente legislación sobre seguridad y salud del trabajo relacionado con el contenido del presente artículo y muy especialmente en lo que se refiere a la vigilancia diaria y permanente a cargo del personal especializado, del estado de las entibaciones y apeos, exigiéndose particularmente la constante atención de los elementos de sostenimiento y la unión del travesaño al panel, a fin de que, en ningún caso, quede mermada su efectividad en ningún punto de la zona protegida.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108" w:name="_Toc389737921"/>
      <w:r>
        <w:t>Medición y abono</w:t>
      </w:r>
      <w:bookmarkEnd w:id="108"/>
    </w:p>
    <w:p w:rsidR="00C7085E" w:rsidRDefault="00C7085E" w:rsidP="00B71B1A">
      <w:pPr>
        <w:spacing w:before="120" w:after="240" w:line="276" w:lineRule="auto"/>
        <w:ind w:right="-285"/>
      </w:pPr>
      <w:r>
        <w:t>Las entibaciones se medirán por metros cuadrados (m</w:t>
      </w:r>
      <w:r>
        <w:rPr>
          <w:vertAlign w:val="superscript"/>
        </w:rPr>
        <w:t>2</w:t>
      </w:r>
      <w:r>
        <w:t>) de superficie entibada.</w:t>
      </w:r>
    </w:p>
    <w:p w:rsidR="00C7085E" w:rsidRDefault="00C7085E" w:rsidP="00B71B1A">
      <w:pPr>
        <w:spacing w:before="120" w:after="240" w:line="276" w:lineRule="auto"/>
        <w:ind w:right="-285"/>
      </w:pPr>
      <w:r>
        <w:t>La superficie entibada a efectos de medición será la realmente realizada. Si entre dos paneles entibados existe una distancia inferior a medio metro, se considerará dicha superficie como realmente entibada.</w:t>
      </w:r>
    </w:p>
    <w:p w:rsidR="00C7085E" w:rsidRDefault="00C7085E" w:rsidP="00B71B1A">
      <w:pPr>
        <w:spacing w:before="120" w:after="240" w:line="276" w:lineRule="auto"/>
        <w:ind w:right="-285"/>
      </w:pPr>
      <w:r>
        <w:t>El abono de las correspondientes unidades se realizará mediante la aplicación, en función del tipo de entibación y del material empleado, incluso desentibado, del precio que corresponda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09" w:name="_Toc389737922"/>
      <w:bookmarkStart w:id="110" w:name="_Toc414021766"/>
      <w:bookmarkStart w:id="111" w:name="_Toc448741388"/>
      <w:r>
        <w:lastRenderedPageBreak/>
        <w:t>A</w:t>
      </w:r>
      <w:bookmarkEnd w:id="109"/>
      <w:r>
        <w:t>gotamientos</w:t>
      </w:r>
      <w:bookmarkEnd w:id="110"/>
      <w:bookmarkEnd w:id="111"/>
    </w:p>
    <w:p w:rsidR="00C7085E" w:rsidRDefault="00C7085E" w:rsidP="00B71B1A">
      <w:pPr>
        <w:spacing w:before="120" w:after="240" w:line="276" w:lineRule="auto"/>
        <w:ind w:right="-285"/>
      </w:pPr>
      <w:r>
        <w:t xml:space="preserve">El proyecto de ejecución debe contemplar los medios necesarios para la ejecución de excavaciones con niveles freáticos elevados.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112" w:name="_Toc389737923"/>
      <w:r>
        <w:t>Ejecución</w:t>
      </w:r>
      <w:bookmarkEnd w:id="112"/>
    </w:p>
    <w:p w:rsidR="00C7085E" w:rsidRDefault="00C7085E" w:rsidP="00B71B1A">
      <w:pPr>
        <w:spacing w:before="120" w:after="240" w:line="276" w:lineRule="auto"/>
        <w:ind w:right="-285"/>
      </w:pPr>
      <w:r>
        <w:t>El Adjudicatario deberá planificar las excavaciones y explanaciones de forma que el agua de lluvia sea evacuada por gravedad y no afecte a la normal construcción de los distintos elementos de la obra ni a terceros.</w:t>
      </w:r>
    </w:p>
    <w:p w:rsidR="00C7085E" w:rsidRDefault="00C7085E" w:rsidP="00B71B1A">
      <w:pPr>
        <w:spacing w:before="120" w:after="240" w:line="276" w:lineRule="auto"/>
        <w:ind w:right="-285"/>
      </w:pPr>
      <w:r>
        <w:t>Si, a juicio de la Dirección de Obra, se dan circunstancias excepcionales de lluvia intensa continuada, nivel freático anormalmente elevado e imposibilidad física de extracción de agua por gravedad, se podrán utilizar medios mecánicos para la extracción del agua acumulada en las excavaciones, utilizando equipos de bombeo adecuados a la importancia de los caudales a evacuar. En tal caso, se considerará que la excavación se realiza "con agotamiento".</w:t>
      </w:r>
    </w:p>
    <w:p w:rsidR="00C7085E" w:rsidRDefault="00C7085E" w:rsidP="00B71B1A">
      <w:pPr>
        <w:spacing w:before="120" w:after="240" w:line="276" w:lineRule="auto"/>
        <w:ind w:right="-285"/>
      </w:pPr>
      <w:r>
        <w:t xml:space="preserve">En cualquier caso, los equipos de bombeo deberán ser propuestos y justificados técnicamente por el Adjudicatario y autorizados por la Dirección de Obra.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113" w:name="_Toc389737924"/>
      <w:r>
        <w:t>Medición y abono</w:t>
      </w:r>
      <w:bookmarkEnd w:id="113"/>
    </w:p>
    <w:p w:rsidR="00C7085E" w:rsidRDefault="00C7085E" w:rsidP="00B71B1A">
      <w:pPr>
        <w:spacing w:before="120" w:after="240" w:line="276" w:lineRule="auto"/>
        <w:ind w:right="-285"/>
      </w:pPr>
      <w:r>
        <w:t xml:space="preserve">La medición y abono del agotamiento se realizará de acuerdo con las unidades existentes en el Cuadro de Precios vigente de Canal de Isabel II Gestión, que sean más parecidas a los equipos utilizados por el Adjudicatario e inmediatamente inferior a la aprobada. Este precio incluye la parte proporcional de tiempo de parada, energía y personal auxiliar para su instalación, retirada y mantenimiento, así como el transporte y retirada de la obra. </w:t>
      </w:r>
    </w:p>
    <w:p w:rsidR="00C7085E" w:rsidRDefault="00C7085E" w:rsidP="00B71B1A">
      <w:pPr>
        <w:spacing w:before="120" w:after="240" w:line="276" w:lineRule="auto"/>
        <w:ind w:right="-285"/>
      </w:pPr>
      <w:r>
        <w:t>En caso de que la Dirección de Obra considere que ha habido negligencia o pasividad, por parte del Adjudicatario, en realizar los movimientos de tierra necesarios para la evacuación por gravedad de las aguas, se considera a cargo del Adjudicatario el agotamiento de los tajos de obra, cualesquiera que sean los medios necesarios, hasta dejarlos en seco.</w:t>
      </w:r>
    </w:p>
    <w:p w:rsidR="00C7085E" w:rsidRDefault="00C7085E" w:rsidP="00B71B1A">
      <w:pPr>
        <w:spacing w:before="120" w:after="240" w:line="276" w:lineRule="auto"/>
        <w:ind w:right="-285"/>
      </w:pPr>
      <w:r>
        <w:t>No se considera incluido en el precio el suministro y puesta en obra de la bomba de reserva necesaria para cualquier tipo de actuación, así como su posterior retirada. Estos conceptos se abonarán de acuerdo a las correspondientes unidades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14" w:name="_Toc448741389"/>
      <w:r>
        <w:t>Transporte a vertedero</w:t>
      </w:r>
      <w:bookmarkEnd w:id="114"/>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Los productos resultantes de los movimientos de tierra que no sea posible reutilizar en la ejecución de las obras se transportarán a vertedero autorizado, localizado lo más próximo posible a la zona de actuación.</w:t>
      </w:r>
    </w:p>
    <w:p w:rsidR="00DF30E5" w:rsidRDefault="00DF30E5" w:rsidP="00B71B1A">
      <w:pPr>
        <w:spacing w:before="120" w:after="240" w:line="276" w:lineRule="auto"/>
        <w:ind w:right="-285"/>
      </w:pP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Medición y abono</w:t>
      </w:r>
    </w:p>
    <w:p w:rsidR="00C7085E" w:rsidRDefault="00C7085E" w:rsidP="00B71B1A">
      <w:pPr>
        <w:spacing w:before="120" w:after="240" w:line="276" w:lineRule="auto"/>
        <w:ind w:right="-285"/>
      </w:pPr>
      <w:r>
        <w:t>Los productos resultantes de los movimientos de tierra que no sea posible reutilizar en la ejecución de las obras se transportarán a vertedero autorizado, localizado lo más próximo posible a la zona de actuación.</w:t>
      </w:r>
    </w:p>
    <w:p w:rsidR="00C7085E" w:rsidRDefault="00C7085E" w:rsidP="00B71B1A">
      <w:pPr>
        <w:keepNext/>
        <w:keepLines/>
        <w:spacing w:before="120" w:after="240" w:line="276" w:lineRule="auto"/>
        <w:ind w:right="-285"/>
      </w:pPr>
      <w:r>
        <w:t>El transporte a vertedero de estos productos se medirá por metros cúbicos (m</w:t>
      </w:r>
      <w:r>
        <w:rPr>
          <w:vertAlign w:val="superscript"/>
        </w:rPr>
        <w:t>3</w:t>
      </w:r>
      <w:r>
        <w:t>) de material transportado y se abonará mediante la aplicación del precio que corresponda, de los que figuren en el Cuadro de Precios vigente de Canal de Isabel II Gestión.</w:t>
      </w:r>
    </w:p>
    <w:p w:rsidR="00C7085E" w:rsidRDefault="00C7085E" w:rsidP="00B71B1A">
      <w:pPr>
        <w:spacing w:before="120" w:after="240" w:line="276" w:lineRule="auto"/>
        <w:ind w:right="-285"/>
      </w:pPr>
      <w:r>
        <w:t>En dicho precio se considera incluida la carga y la descarga, pero no el canon de vertido, que se medirá y abonará mediante unidad independiente.</w:t>
      </w:r>
    </w:p>
    <w:p w:rsidR="00C7085E" w:rsidRDefault="00C7085E" w:rsidP="00B71B1A">
      <w:pPr>
        <w:spacing w:before="120" w:after="240" w:line="276" w:lineRule="auto"/>
        <w:ind w:right="-285"/>
      </w:pPr>
      <w:r>
        <w:t>En ningún caso se considerará factor de esponjamiento salvo en aquellos que existan dificultades de medición, en cuyo caso la Dirección de Obra determinará la conveniencia o no de aplicación y el valor del mismo.</w:t>
      </w:r>
    </w:p>
    <w:p w:rsidR="009A5015" w:rsidRDefault="009A5015" w:rsidP="00B71B1A">
      <w:pPr>
        <w:widowControl/>
        <w:autoSpaceDE/>
        <w:autoSpaceDN/>
        <w:adjustRightInd/>
        <w:spacing w:line="276" w:lineRule="auto"/>
        <w:ind w:right="-285"/>
        <w:jc w:val="left"/>
        <w:rPr>
          <w:rFonts w:ascii="Arial Negrita" w:hAnsi="Arial Negrita"/>
          <w:b/>
          <w:snapToGrid w:val="0"/>
        </w:rPr>
      </w:pPr>
      <w:bookmarkStart w:id="115" w:name="_Toc414021767"/>
      <w:r>
        <w:br w:type="page"/>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16" w:name="_Toc448741390"/>
      <w:r>
        <w:lastRenderedPageBreak/>
        <w:t>Camas de apoyo</w:t>
      </w:r>
      <w:bookmarkEnd w:id="115"/>
      <w:bookmarkEnd w:id="116"/>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Las camas de apoyo serán de material granular o de hormigón.</w:t>
      </w:r>
    </w:p>
    <w:p w:rsidR="00C7085E" w:rsidRDefault="00C7085E" w:rsidP="00B71B1A">
      <w:pPr>
        <w:spacing w:before="120" w:after="240" w:line="276" w:lineRule="auto"/>
        <w:ind w:right="-285"/>
      </w:pPr>
      <w:r>
        <w:t>El material granular a emplear como cama de apoyo será no plástico, exento de materias orgánicas y de tamaño máximo veinticinco milímetros (25 mm), pudiendo utilizarse arenas gruesas o gravas rodadas. No podrán contener más del cero con tres por ciento (0,3%) de sulfato.</w:t>
      </w:r>
    </w:p>
    <w:p w:rsidR="00C7085E" w:rsidRDefault="00C7085E" w:rsidP="00B71B1A">
      <w:pPr>
        <w:spacing w:before="120" w:after="240" w:line="276" w:lineRule="auto"/>
        <w:ind w:right="-285"/>
      </w:pPr>
      <w:r>
        <w:t>El espesor mínimo será de quince centímetros (15 cm) para asegurar el perfecto asiento de la tubería.</w:t>
      </w:r>
    </w:p>
    <w:p w:rsidR="00C7085E" w:rsidRDefault="00C7085E" w:rsidP="00B71B1A">
      <w:pPr>
        <w:spacing w:before="120" w:after="240" w:line="276" w:lineRule="auto"/>
        <w:ind w:right="-285"/>
      </w:pPr>
      <w:r>
        <w:t>En el caso de emplear camas de hormigón, el material empleado deberá cumplir las siguientes especificaciones:</w:t>
      </w:r>
    </w:p>
    <w:p w:rsidR="00C7085E" w:rsidRDefault="00C7085E" w:rsidP="00B71B1A">
      <w:pPr>
        <w:widowControl/>
        <w:numPr>
          <w:ilvl w:val="0"/>
          <w:numId w:val="8"/>
        </w:numPr>
        <w:spacing w:before="120" w:after="240" w:line="276" w:lineRule="auto"/>
        <w:ind w:right="-285"/>
      </w:pPr>
      <w:r>
        <w:t>Espesor bajo la generatriz inferior del tubo de quince centímetros (15 cm).</w:t>
      </w:r>
    </w:p>
    <w:p w:rsidR="00C7085E" w:rsidRDefault="00C7085E" w:rsidP="00B71B1A">
      <w:pPr>
        <w:widowControl/>
        <w:numPr>
          <w:ilvl w:val="0"/>
          <w:numId w:val="8"/>
        </w:numPr>
        <w:spacing w:before="120" w:after="240" w:line="276" w:lineRule="auto"/>
        <w:ind w:right="-285"/>
      </w:pPr>
      <w:r>
        <w:t>Resistencia característica no inferior a quince kilo newton por metro cuadrado (15  kN/m</w:t>
      </w:r>
      <w:r>
        <w:rPr>
          <w:vertAlign w:val="superscript"/>
        </w:rPr>
        <w:t>2</w:t>
      </w:r>
      <w:r>
        <w:t>.</w:t>
      </w:r>
    </w:p>
    <w:p w:rsidR="00C7085E" w:rsidRDefault="00C7085E" w:rsidP="00B71B1A">
      <w:pPr>
        <w:widowControl/>
        <w:numPr>
          <w:ilvl w:val="0"/>
          <w:numId w:val="8"/>
        </w:numPr>
        <w:spacing w:before="120" w:after="240" w:line="276" w:lineRule="auto"/>
        <w:ind w:left="714" w:right="-285" w:hanging="357"/>
      </w:pPr>
      <w:r>
        <w:t>Tamaño máximo del árido no mayor de la cuarta parte del espesor de la cama bajo el tubo.</w:t>
      </w:r>
    </w:p>
    <w:p w:rsidR="00C7085E" w:rsidRDefault="00C7085E" w:rsidP="00B71B1A">
      <w:pPr>
        <w:spacing w:before="120" w:after="240" w:line="276" w:lineRule="auto"/>
        <w:ind w:right="-285"/>
      </w:pPr>
      <w:r>
        <w:t>Para la elección del tipo de cama de apoyo se tendrán en cuenta aspectos tales como el tipo de tubo y sus dimensiones, la clase de uniones, la naturaleza del terreno, etc.</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Las camas granulares se realizarán en dos etapas. En la primera parte se ejecutará la parte inferior de la cama, con superficie plana, sobre la que se colocan los tubos, acoplados y acuñados. En una segunda etapa se realizará el resto de la cama rellenando a ambos lados del tubo hasta alcanzar el ángulo de apoyo exigido.</w:t>
      </w:r>
    </w:p>
    <w:p w:rsidR="00C7085E" w:rsidRDefault="00C7085E" w:rsidP="00B71B1A">
      <w:pPr>
        <w:spacing w:before="120" w:after="240" w:line="276" w:lineRule="auto"/>
        <w:ind w:right="-285"/>
      </w:pPr>
      <w:r>
        <w:t xml:space="preserve">En ambas etapas los rellenos se efectuarán por capas del orden de siete a diez centímetros (7 a 10 cm) compactadas mecánicamente. Los grados de compactación serán tales que la densidad resulte como mínimo el noventa y cinco por ciento (95%) de la máxima del ensayo Próctor modificado o bien, el setenta por ciento (70%) de la densidad relativa si se tratara de material granular libremente drenante, de acuerdo con las normas UNE 103501: </w:t>
      </w:r>
      <w:r>
        <w:rPr>
          <w:rFonts w:cs="Arial"/>
          <w:i/>
          <w:szCs w:val="22"/>
        </w:rPr>
        <w:t>“</w:t>
      </w:r>
      <w:r>
        <w:rPr>
          <w:rFonts w:cs="Arial"/>
          <w:bCs/>
          <w:i/>
          <w:color w:val="000000"/>
          <w:szCs w:val="22"/>
        </w:rPr>
        <w:t>Geotecnia. Ensayo de compactación. Proctor modificado”</w:t>
      </w:r>
      <w:r>
        <w:t>, UNE 103105:</w:t>
      </w:r>
      <w:r>
        <w:rPr>
          <w:i/>
        </w:rPr>
        <w:t xml:space="preserve"> “Determinación de la densidad mínima de una arena” </w:t>
      </w:r>
      <w:r>
        <w:t xml:space="preserve">y UNE 103106: </w:t>
      </w:r>
      <w:r>
        <w:rPr>
          <w:i/>
        </w:rPr>
        <w:t>“Determinación de la densidad máxima de una arena por el método de apisonado”</w:t>
      </w:r>
      <w:r>
        <w:t>.</w:t>
      </w:r>
    </w:p>
    <w:p w:rsidR="00C7085E" w:rsidRDefault="00C7085E" w:rsidP="00B71B1A">
      <w:pPr>
        <w:spacing w:before="120" w:after="240" w:line="276" w:lineRule="auto"/>
        <w:ind w:right="-285"/>
      </w:pPr>
      <w:r>
        <w:t>En ningún caso se realizarán camas granulares mediante el vertido del material. Además, deberá comprobarse que se han eliminado del interior de la zanja todas las estacas de rasanteo colocadas y prestar especial cuidado en las operaciones de extensión y compactación para no producir movimientos ni daños en la tubería.</w:t>
      </w:r>
    </w:p>
    <w:p w:rsidR="00C7085E" w:rsidRDefault="00C7085E" w:rsidP="00B71B1A">
      <w:pPr>
        <w:spacing w:before="120" w:after="240" w:line="276" w:lineRule="auto"/>
        <w:ind w:right="-285"/>
      </w:pPr>
      <w:r>
        <w:lastRenderedPageBreak/>
        <w:t>En el caso de realizar la cama de apoyo con hormigón, ésta se construirá con los tubos colocados en su posición definitiva, apoyados sobre calzos que impidan movimientos en la tubería y debiendo asegurar el contacto del tubo con el hormigón en toda la superficie de apoyo.</w:t>
      </w:r>
    </w:p>
    <w:p w:rsidR="00C7085E" w:rsidRDefault="00C7085E" w:rsidP="00B71B1A">
      <w:pPr>
        <w:spacing w:before="120" w:after="240" w:line="276" w:lineRule="auto"/>
        <w:ind w:right="-285"/>
      </w:pPr>
      <w:r>
        <w:t>En las zonas de uniones, la cama se interrumpirá en un tramo de ochenta centímetros (80 cm) como mínimo, y se deberá profundizar la excavación del fondo de la zanja para dejar espacio suficiente para ejecutar las uniones.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la calidad</w:t>
      </w:r>
    </w:p>
    <w:p w:rsidR="00C7085E" w:rsidRDefault="00C7085E" w:rsidP="00B71B1A">
      <w:pPr>
        <w:spacing w:before="120" w:after="240" w:line="276" w:lineRule="auto"/>
        <w:ind w:right="-285"/>
      </w:pPr>
      <w:r>
        <w:t>Los ensayos a efectuar en los materiales utilizados en las camas de apoyo y rellenos, así como el control de la ejecución de los mismos, seguirán lo establecido en las normas UNE 103101, UNE 103103, UNE 103104, UNE 103201, UNE 103202, UNE 103501 y UNE 103503.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materiales a emplear como camas de apoyo se mediarán por metros cúbicos (m</w:t>
      </w:r>
      <w:r>
        <w:rPr>
          <w:vertAlign w:val="superscript"/>
        </w:rPr>
        <w:t>3</w:t>
      </w:r>
      <w:r>
        <w:t xml:space="preserve">) realmente ejecutados y se abonarán, en función del material utilizado, mediante la aplicación del precio </w:t>
      </w:r>
      <w:r w:rsidR="00E920BF">
        <w:t>del relleno con material seleccionado.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17" w:name="_Toc414021768"/>
      <w:bookmarkStart w:id="118" w:name="_Toc448741391"/>
      <w:r>
        <w:t>Terraplenes, pedraplenes y rellenos</w:t>
      </w:r>
      <w:bookmarkEnd w:id="117"/>
      <w:bookmarkEnd w:id="118"/>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Los materiales para terraplenes cumplirán las condiciones que establece el artículo 330.3 del Pliego de Prescripciones Técnicas Generales para Obras de Carreteras y Puentes (PG-3) para  "suelos seleccionados” o “suelos adecuados". El Proyecto definirá el tipo de suelo a utilizar en función de la misión resistente del terraplén.</w:t>
      </w:r>
    </w:p>
    <w:p w:rsidR="00C7085E" w:rsidRDefault="00C7085E" w:rsidP="00B71B1A">
      <w:pPr>
        <w:spacing w:before="120" w:after="240" w:line="276" w:lineRule="auto"/>
        <w:ind w:right="-285"/>
      </w:pPr>
      <w:r>
        <w:t>Los materiales para pedraplenes cumplirán las condiciones que para "rocas adecuadas" establece el artículo 331.4 del PG-3.</w:t>
      </w:r>
    </w:p>
    <w:p w:rsidR="00C7085E" w:rsidRDefault="00C7085E" w:rsidP="00B71B1A">
      <w:pPr>
        <w:spacing w:before="120" w:after="240" w:line="276" w:lineRule="auto"/>
        <w:ind w:right="-285"/>
        <w:rPr>
          <w:szCs w:val="22"/>
        </w:rPr>
      </w:pPr>
      <w:r>
        <w:rPr>
          <w:szCs w:val="22"/>
        </w:rPr>
        <w:t>Los materiales  para rellenos localizados cumplirán las condiciones que para "suelos adecuados y seleccionados" se establecen en el apartado 330.3 del PG-3. No se consideran incluidos dentro de esta unidad los rellenos localizados de material con misión específica drenante, a los que hace referencia el artículo 421, "Rellenos localizados de material drenante" del PG-3 y que se realizarán de acuerdo a este último.</w:t>
      </w:r>
    </w:p>
    <w:p w:rsidR="00C7085E" w:rsidRDefault="00C7085E" w:rsidP="00B71B1A">
      <w:pPr>
        <w:spacing w:before="120" w:after="240" w:line="276" w:lineRule="auto"/>
        <w:ind w:right="-285"/>
        <w:rPr>
          <w:szCs w:val="22"/>
        </w:rPr>
      </w:pPr>
      <w:r>
        <w:rPr>
          <w:szCs w:val="22"/>
        </w:rPr>
        <w:t>En la zona baja de la zanja se empleará relleno seleccionado, con un tamaño máximo de tres centímetros (3 cm), mientras que en la zona alta se empelará relleno adecuado con un tamaño máximo de quince centímetros (15 cm).</w:t>
      </w:r>
    </w:p>
    <w:p w:rsidR="00C7085E" w:rsidRDefault="00C7085E" w:rsidP="00B71B1A">
      <w:pPr>
        <w:spacing w:before="120" w:after="240" w:line="276" w:lineRule="auto"/>
        <w:ind w:right="-285"/>
        <w:rPr>
          <w:szCs w:val="22"/>
        </w:rPr>
      </w:pPr>
      <w:r>
        <w:rPr>
          <w:szCs w:val="22"/>
        </w:rPr>
        <w:t>Para los tubos de materiales plásticos (PP, PE, PVC-O, PVC-U y PRFV) se rellenará la zanja con gravilla de canto rodado de tamaño máximo veinticinco milímetros (25 mm), hasta quince centímetros (15 cm) por encima de la clave de la tubería.</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rPr>
          <w:szCs w:val="20"/>
        </w:rPr>
      </w:pPr>
      <w:r>
        <w:lastRenderedPageBreak/>
        <w:t>Ejecución</w:t>
      </w:r>
    </w:p>
    <w:p w:rsidR="00C7085E" w:rsidRDefault="00C7085E" w:rsidP="00B71B1A">
      <w:pPr>
        <w:keepNext/>
        <w:spacing w:before="120" w:after="240" w:line="276" w:lineRule="auto"/>
        <w:ind w:right="-285"/>
        <w:rPr>
          <w:i/>
        </w:rPr>
      </w:pPr>
      <w:r>
        <w:t xml:space="preserve">Los terraplenes se ejecutarán según se especifica en el artículo 330.6 del PG-3. El Proyecto definirá la compactación que se debe alcanzar, que en ningún caso será inferior al 95% de la densidad máxima obtenida en el ensayo de Proctor Modificado, según la norma UNE 103501: </w:t>
      </w:r>
      <w:r>
        <w:rPr>
          <w:i/>
        </w:rPr>
        <w:t>“Geotecnia. Ensayo de compactación. Proctor modificado”.</w:t>
      </w:r>
    </w:p>
    <w:p w:rsidR="00C7085E" w:rsidRDefault="00C7085E" w:rsidP="00B71B1A">
      <w:pPr>
        <w:spacing w:before="120" w:after="240" w:line="276" w:lineRule="auto"/>
        <w:ind w:right="-285"/>
      </w:pPr>
      <w:r>
        <w:t>Las limitaciones de la ejecución de los terraplenes serán las contenidas en el PG-3 en su artículo 330.7.</w:t>
      </w:r>
    </w:p>
    <w:p w:rsidR="00C7085E" w:rsidRDefault="00C7085E" w:rsidP="00B71B1A">
      <w:pPr>
        <w:spacing w:before="120" w:after="240" w:line="276" w:lineRule="auto"/>
        <w:ind w:right="-285"/>
      </w:pPr>
      <w:r>
        <w:t>Los pedraplenes se ejecutarán según se especifica en el artículo 331.7 del PG-3 y las limitaciones de ejecución serán las contenidas en el citado Pliego.</w:t>
      </w:r>
    </w:p>
    <w:p w:rsidR="00C7085E" w:rsidRDefault="00C7085E" w:rsidP="00B71B1A">
      <w:pPr>
        <w:spacing w:before="120" w:after="240" w:line="276" w:lineRule="auto"/>
        <w:ind w:right="-285"/>
      </w:pPr>
      <w:r>
        <w:t>Los rellenos localizados se ejecutarán cumpliendo las especificaciones del artículo 332.5, con las limitaciones contenidas en el artículo 332.6 del PG-3. La compactación exigida vendrá definida en el Proyecto presentado por el Adjudicatario y no será inferior al noventa y cinco por ciento (95%) de la densidad máxima obtenida en el ensayo Próctor modificado en el caso de emplear suelos seleccionados y del cien por cien (100%) en el caso de la utilización de suelos adecuados, de acuerdo a la norma UNE 103501.</w:t>
      </w:r>
    </w:p>
    <w:p w:rsidR="00C7085E" w:rsidRDefault="00C7085E" w:rsidP="00B71B1A">
      <w:pPr>
        <w:spacing w:before="120" w:after="240" w:line="276" w:lineRule="auto"/>
        <w:ind w:right="-285"/>
      </w:pPr>
      <w:r>
        <w:t>La terminación y refino de la explanada y taludes se ejecutará según se especifica en los artículos 340.2 y 341.2 del PG-3, con las tolerancias del acabado indicadas en el citado Pliego.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los materiales</w:t>
      </w:r>
    </w:p>
    <w:p w:rsidR="00C7085E" w:rsidRDefault="00C7085E" w:rsidP="00B71B1A">
      <w:pPr>
        <w:spacing w:before="120" w:after="240" w:line="276" w:lineRule="auto"/>
        <w:ind w:right="-285"/>
      </w:pPr>
      <w:r>
        <w:t>Las características de los materiales se comprobarán antes de su utilización mediante la ejecución de los ensayos cuya frecuencia y tipo se señalan a continuación, previa autorización de la Dirección de Obra.</w:t>
      </w:r>
    </w:p>
    <w:p w:rsidR="00C7085E" w:rsidRDefault="00C7085E" w:rsidP="00B71B1A">
      <w:pPr>
        <w:widowControl/>
        <w:numPr>
          <w:ilvl w:val="0"/>
          <w:numId w:val="12"/>
        </w:numPr>
        <w:spacing w:before="120" w:after="240" w:line="276" w:lineRule="auto"/>
        <w:ind w:left="714" w:right="-285" w:hanging="357"/>
        <w:rPr>
          <w:rFonts w:cs="Arial"/>
        </w:rPr>
      </w:pPr>
      <w:r>
        <w:rPr>
          <w:rFonts w:cs="Arial"/>
        </w:rPr>
        <w:t>Rellenos y terraplenes</w:t>
      </w:r>
    </w:p>
    <w:p w:rsidR="00C7085E" w:rsidRDefault="00C7085E" w:rsidP="00B71B1A">
      <w:pPr>
        <w:spacing w:before="120" w:after="240" w:line="276" w:lineRule="auto"/>
        <w:ind w:right="-285" w:firstLine="709"/>
        <w:rPr>
          <w:rFonts w:cs="Arial"/>
        </w:rPr>
      </w:pPr>
      <w:r>
        <w:rPr>
          <w:rFonts w:cs="Arial"/>
        </w:rPr>
        <w:t>Por cada 10.000 m</w:t>
      </w:r>
      <w:r>
        <w:rPr>
          <w:rFonts w:cs="Arial"/>
          <w:vertAlign w:val="superscript"/>
        </w:rPr>
        <w:t>3</w:t>
      </w:r>
      <w:r>
        <w:rPr>
          <w:rFonts w:cs="Arial"/>
        </w:rPr>
        <w:t xml:space="preserve"> de material:</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2 Material que pasa por el tamiz 0,080 UNE, según UNE-EN 993-1</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 xml:space="preserve">2 Contenido de materia orgánica según UNE 7368 </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 xml:space="preserve">2 Próctor modificado según UNE 103501 </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2 Límites de Atterberg según UNE 103103 y UNE 103104</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2 Contenido de humedad según UNE 103300</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 xml:space="preserve">1 Índice CBR en laboratorio según UNE 103502 </w:t>
      </w:r>
    </w:p>
    <w:p w:rsidR="00C7085E" w:rsidRDefault="00C7085E" w:rsidP="00B71B1A">
      <w:pPr>
        <w:widowControl/>
        <w:numPr>
          <w:ilvl w:val="0"/>
          <w:numId w:val="12"/>
        </w:numPr>
        <w:spacing w:before="120" w:after="240" w:line="276" w:lineRule="auto"/>
        <w:ind w:left="714" w:right="-285" w:hanging="357"/>
        <w:rPr>
          <w:rFonts w:cs="Arial"/>
          <w:lang w:val="es-ES_tradnl"/>
        </w:rPr>
      </w:pPr>
      <w:r>
        <w:rPr>
          <w:rFonts w:cs="Arial"/>
        </w:rPr>
        <w:t>Pedraplenes</w:t>
      </w:r>
    </w:p>
    <w:p w:rsidR="00C7085E" w:rsidRDefault="00C7085E" w:rsidP="00B71B1A">
      <w:pPr>
        <w:spacing w:before="120" w:after="240" w:line="276" w:lineRule="auto"/>
        <w:ind w:right="-285" w:firstLine="709"/>
        <w:rPr>
          <w:rFonts w:cs="Arial"/>
        </w:rPr>
      </w:pPr>
      <w:r>
        <w:rPr>
          <w:rFonts w:cs="Arial"/>
        </w:rPr>
        <w:t>Por cada 10.000 m</w:t>
      </w:r>
      <w:r>
        <w:rPr>
          <w:rFonts w:cs="Arial"/>
          <w:vertAlign w:val="superscript"/>
        </w:rPr>
        <w:t>3</w:t>
      </w:r>
      <w:r>
        <w:rPr>
          <w:rFonts w:cs="Arial"/>
        </w:rPr>
        <w:t xml:space="preserve"> de material:</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3 Granulometría por tamizado según UNE 103101</w:t>
      </w:r>
    </w:p>
    <w:p w:rsidR="00C7085E" w:rsidRDefault="00C7085E" w:rsidP="00B71B1A">
      <w:pPr>
        <w:widowControl/>
        <w:numPr>
          <w:ilvl w:val="0"/>
          <w:numId w:val="12"/>
        </w:numPr>
        <w:spacing w:before="120" w:after="240" w:line="276" w:lineRule="auto"/>
        <w:ind w:left="714" w:right="-285" w:hanging="357"/>
        <w:rPr>
          <w:rFonts w:cs="Arial"/>
          <w:lang w:val="es-ES_tradnl"/>
        </w:rPr>
      </w:pPr>
      <w:r>
        <w:rPr>
          <w:rFonts w:cs="Arial"/>
        </w:rPr>
        <w:lastRenderedPageBreak/>
        <w:t>Rellenos de material filtrante</w:t>
      </w:r>
    </w:p>
    <w:p w:rsidR="00C7085E" w:rsidRDefault="00C7085E" w:rsidP="00B71B1A">
      <w:pPr>
        <w:spacing w:before="120" w:after="240" w:line="276" w:lineRule="auto"/>
        <w:ind w:right="-285" w:firstLine="709"/>
        <w:rPr>
          <w:rFonts w:cs="Arial"/>
        </w:rPr>
      </w:pPr>
      <w:r>
        <w:rPr>
          <w:rFonts w:cs="Arial"/>
        </w:rPr>
        <w:t>Por cada 10.000 m3 de material filtro:</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2 Granulometría por tamizado según UNE 103101</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 xml:space="preserve">2  Equivalente de arena según UNE 103109 </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2  Resistencia al desgaste según UNE-EN 1097-291</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 xml:space="preserve">1 Próctor modificado según UNE 103501 </w:t>
      </w:r>
    </w:p>
    <w:p w:rsidR="00C7085E" w:rsidRDefault="00C7085E" w:rsidP="00B71B1A">
      <w:pPr>
        <w:spacing w:before="120" w:after="240" w:line="276" w:lineRule="auto"/>
        <w:ind w:right="-285"/>
        <w:rPr>
          <w:rFonts w:cs="Arial"/>
          <w:u w:val="single"/>
          <w:lang w:val="es-ES_tradnl"/>
        </w:rPr>
      </w:pPr>
      <w:r>
        <w:rPr>
          <w:rFonts w:cs="Arial"/>
          <w:u w:val="single"/>
        </w:rPr>
        <w:t>Control de calidad de la ejecución</w:t>
      </w:r>
    </w:p>
    <w:p w:rsidR="00C7085E" w:rsidRDefault="00C7085E" w:rsidP="00B71B1A">
      <w:pPr>
        <w:widowControl/>
        <w:numPr>
          <w:ilvl w:val="0"/>
          <w:numId w:val="12"/>
        </w:numPr>
        <w:spacing w:before="120" w:after="240" w:line="276" w:lineRule="auto"/>
        <w:ind w:left="714" w:right="-285" w:hanging="357"/>
        <w:rPr>
          <w:rFonts w:cs="Arial"/>
        </w:rPr>
      </w:pPr>
      <w:r>
        <w:rPr>
          <w:rFonts w:cs="Arial"/>
        </w:rPr>
        <w:t>Rellenos y terraplenes</w:t>
      </w:r>
    </w:p>
    <w:p w:rsidR="00C7085E" w:rsidRDefault="00C7085E" w:rsidP="00B71B1A">
      <w:pPr>
        <w:spacing w:before="120" w:after="240" w:line="276" w:lineRule="auto"/>
        <w:ind w:right="-285" w:firstLine="709"/>
        <w:rPr>
          <w:rFonts w:cs="Arial"/>
        </w:rPr>
      </w:pPr>
      <w:r>
        <w:rPr>
          <w:rFonts w:cs="Arial"/>
        </w:rPr>
        <w:t>Por cada 1.000 m</w:t>
      </w:r>
      <w:r>
        <w:rPr>
          <w:rFonts w:cs="Arial"/>
          <w:vertAlign w:val="superscript"/>
        </w:rPr>
        <w:t>3</w:t>
      </w:r>
      <w:r>
        <w:rPr>
          <w:rFonts w:cs="Arial"/>
        </w:rPr>
        <w:t xml:space="preserve"> o fracción de capa colocada de material:</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3 Densidad "in situ" según UNE 103503, con determinación de humedad</w:t>
      </w:r>
    </w:p>
    <w:p w:rsidR="00C7085E" w:rsidRDefault="00C7085E" w:rsidP="00B71B1A">
      <w:pPr>
        <w:widowControl/>
        <w:numPr>
          <w:ilvl w:val="0"/>
          <w:numId w:val="12"/>
        </w:numPr>
        <w:spacing w:before="120" w:after="240" w:line="276" w:lineRule="auto"/>
        <w:ind w:left="714" w:right="-285" w:hanging="357"/>
        <w:rPr>
          <w:rFonts w:cs="Arial"/>
          <w:lang w:val="es-ES_tradnl"/>
        </w:rPr>
      </w:pPr>
      <w:r>
        <w:rPr>
          <w:rFonts w:cs="Arial"/>
        </w:rPr>
        <w:t>Pedraplén</w:t>
      </w:r>
    </w:p>
    <w:p w:rsidR="00C7085E" w:rsidRDefault="00C7085E" w:rsidP="00B71B1A">
      <w:pPr>
        <w:spacing w:before="120" w:after="240" w:line="276" w:lineRule="auto"/>
        <w:ind w:right="-285" w:firstLine="709"/>
        <w:rPr>
          <w:rFonts w:cs="Arial"/>
        </w:rPr>
      </w:pPr>
      <w:r>
        <w:rPr>
          <w:rFonts w:cs="Arial"/>
        </w:rPr>
        <w:t>Por cada 1.000 m</w:t>
      </w:r>
      <w:r>
        <w:rPr>
          <w:rFonts w:cs="Arial"/>
          <w:vertAlign w:val="superscript"/>
        </w:rPr>
        <w:t>3</w:t>
      </w:r>
      <w:r>
        <w:rPr>
          <w:rFonts w:cs="Arial"/>
        </w:rPr>
        <w:t xml:space="preserve"> de material:</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 xml:space="preserve">3 Densidad "in situ" según UNE 103503 </w:t>
      </w:r>
    </w:p>
    <w:p w:rsidR="00C7085E" w:rsidRDefault="00C7085E" w:rsidP="00B71B1A">
      <w:pPr>
        <w:pStyle w:val="Prrafodelista"/>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Rellenos de material filtrante</w:t>
      </w:r>
    </w:p>
    <w:p w:rsidR="00C7085E" w:rsidRDefault="00C7085E" w:rsidP="00B71B1A">
      <w:pPr>
        <w:spacing w:before="120" w:after="240" w:line="276" w:lineRule="auto"/>
        <w:ind w:right="-285" w:firstLine="709"/>
        <w:rPr>
          <w:rFonts w:cs="Arial"/>
          <w:lang w:val="es-ES_tradnl"/>
        </w:rPr>
      </w:pPr>
      <w:r>
        <w:rPr>
          <w:rFonts w:cs="Arial"/>
        </w:rPr>
        <w:t>Por cada 1.000 m</w:t>
      </w:r>
      <w:r>
        <w:rPr>
          <w:rFonts w:cs="Arial"/>
          <w:vertAlign w:val="superscript"/>
        </w:rPr>
        <w:t>3</w:t>
      </w:r>
      <w:r>
        <w:rPr>
          <w:rFonts w:cs="Arial"/>
        </w:rPr>
        <w:t xml:space="preserve"> o fracción de material filtro colocado:</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3 Densidad "in situ" según UNE 103503, con determinación de humedad</w:t>
      </w:r>
    </w:p>
    <w:p w:rsidR="00C7085E" w:rsidRDefault="00C7085E" w:rsidP="00B71B1A">
      <w:pPr>
        <w:spacing w:before="120" w:after="240" w:line="276" w:lineRule="auto"/>
        <w:ind w:right="-285"/>
        <w:rPr>
          <w:rFonts w:cs="Arial"/>
          <w:lang w:val="es-ES_tradnl"/>
        </w:rPr>
      </w:pPr>
      <w:r>
        <w:rPr>
          <w:rFonts w:cs="Arial"/>
        </w:rPr>
        <w:t>Para los pedraplenes, las tolerancias de las superficies acabadas serán las contenidas en el artículo 331.9 del PG-3.</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rPr>
          <w:rFonts w:cs="Arial Negrita"/>
        </w:rPr>
      </w:pPr>
      <w:r>
        <w:t>Medición y abono</w:t>
      </w:r>
    </w:p>
    <w:p w:rsidR="00C7085E" w:rsidRDefault="00C7085E" w:rsidP="00B71B1A">
      <w:pPr>
        <w:keepNext/>
        <w:spacing w:before="120" w:after="240" w:line="276" w:lineRule="auto"/>
        <w:ind w:right="-285"/>
      </w:pPr>
      <w:r>
        <w:t>Se medirán por los metros cúbicos (m</w:t>
      </w:r>
      <w:r>
        <w:rPr>
          <w:vertAlign w:val="superscript"/>
        </w:rPr>
        <w:t>3</w:t>
      </w:r>
      <w:r>
        <w:t>) empleados y compactados, medidos sobre perfil y se abonarán al precio que corresponda, de los que figuren en el Cuadro de Precios vigente de Canal de Isabel II Gestión.</w:t>
      </w:r>
    </w:p>
    <w:p w:rsidR="00C7085E" w:rsidRDefault="00C7085E" w:rsidP="00B71B1A">
      <w:pPr>
        <w:spacing w:before="120" w:after="240" w:line="276" w:lineRule="auto"/>
        <w:ind w:right="-285"/>
      </w:pPr>
      <w:r>
        <w:t>El refino, la nivelación y apisonado de superficies y taludes se medirá y abonará al precio que corresponda, de los que figuren en el Cuadro de Precios vigente de Canal de Isabel II Gestión.</w:t>
      </w:r>
    </w:p>
    <w:p w:rsidR="00C7085E" w:rsidRDefault="00C7085E" w:rsidP="00B71B1A">
      <w:pPr>
        <w:spacing w:before="120" w:after="240" w:line="276" w:lineRule="auto"/>
        <w:ind w:right="-285"/>
      </w:pPr>
      <w:r>
        <w:t>En el caso de que los materiales sean procedentes de préstamo, se considera incluido en el precio la extracción, la carga, el transporte a obra y todos los permisos y tasas necesarias para su obtención.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19" w:name="_Toc414021769"/>
      <w:bookmarkStart w:id="120" w:name="_Toc448741392"/>
      <w:r>
        <w:t>Escollera de piedras sueltas</w:t>
      </w:r>
      <w:bookmarkEnd w:id="119"/>
      <w:bookmarkEnd w:id="120"/>
    </w:p>
    <w:p w:rsidR="00C7085E" w:rsidRDefault="00C7085E" w:rsidP="00B71B1A">
      <w:pPr>
        <w:spacing w:before="120" w:after="240" w:line="276" w:lineRule="auto"/>
        <w:ind w:right="-285"/>
      </w:pPr>
      <w:r>
        <w:t xml:space="preserve">Esta unidad consiste en la extensión por vertido de un conjunto, en general en forma de manto o repié, de piedras relativamente grandes procedentes de excavaciones en roca, </w:t>
      </w:r>
      <w:r>
        <w:lastRenderedPageBreak/>
        <w:t>sobre un talud preparado, formando una capa compacta, bien graduada y con un mínimo de huecos.</w:t>
      </w:r>
    </w:p>
    <w:p w:rsidR="00C7085E" w:rsidRDefault="00C7085E" w:rsidP="00B71B1A">
      <w:pPr>
        <w:spacing w:before="120" w:after="240" w:line="276" w:lineRule="auto"/>
        <w:ind w:right="-285"/>
      </w:pPr>
      <w:r>
        <w:t>Su ejecución comprende normalmente las siguientes operaciones:</w:t>
      </w:r>
    </w:p>
    <w:p w:rsidR="00C7085E" w:rsidRDefault="00C7085E" w:rsidP="00B71B1A">
      <w:pPr>
        <w:widowControl/>
        <w:numPr>
          <w:ilvl w:val="0"/>
          <w:numId w:val="8"/>
        </w:numPr>
        <w:spacing w:before="120" w:after="240" w:line="276" w:lineRule="auto"/>
        <w:ind w:right="-285"/>
      </w:pPr>
      <w:r>
        <w:t>Preparación de la superficie de apoyo de la escollera.</w:t>
      </w:r>
    </w:p>
    <w:p w:rsidR="00C7085E" w:rsidRDefault="00C7085E" w:rsidP="00B71B1A">
      <w:pPr>
        <w:widowControl/>
        <w:numPr>
          <w:ilvl w:val="0"/>
          <w:numId w:val="8"/>
        </w:numPr>
        <w:spacing w:before="120" w:after="240" w:line="276" w:lineRule="auto"/>
        <w:ind w:right="-285"/>
      </w:pPr>
      <w:r>
        <w:t>Colocación de una capa filtro.</w:t>
      </w:r>
    </w:p>
    <w:p w:rsidR="00C7085E" w:rsidRDefault="00C7085E" w:rsidP="00B71B1A">
      <w:pPr>
        <w:widowControl/>
        <w:numPr>
          <w:ilvl w:val="0"/>
          <w:numId w:val="8"/>
        </w:numPr>
        <w:spacing w:before="120" w:after="240" w:line="276" w:lineRule="auto"/>
        <w:ind w:right="-285"/>
      </w:pPr>
      <w:r>
        <w:t>Excavación, carga y transporte del material pétreo que constituye la escollera.</w:t>
      </w:r>
    </w:p>
    <w:p w:rsidR="00C7085E" w:rsidRDefault="00C7085E" w:rsidP="00B71B1A">
      <w:pPr>
        <w:widowControl/>
        <w:numPr>
          <w:ilvl w:val="0"/>
          <w:numId w:val="8"/>
        </w:numPr>
        <w:spacing w:before="120" w:after="240" w:line="276" w:lineRule="auto"/>
        <w:ind w:right="-285"/>
      </w:pPr>
      <w:r>
        <w:t>Vertido y colocación del material.</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Los materiales para escollera deberán cumplir las especificaciones del Pliego de Prescripciones Técnicas Generales para Obras de Carreteras y Puentes (PG-3) en su artículo 658.2.</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 ejecución de esta unidad de obra deberá ajustarse a las prescripciones exigidas en el artículo 658.3 del PG-3.</w:t>
      </w:r>
    </w:p>
    <w:p w:rsidR="00C7085E" w:rsidRDefault="00C7085E" w:rsidP="00B71B1A">
      <w:pPr>
        <w:spacing w:before="120" w:after="240" w:line="276" w:lineRule="auto"/>
        <w:ind w:right="-285"/>
      </w:pPr>
      <w:r>
        <w:t>Se ajustarán a las dimensiones y perfiles que constan en el Proyecto, y en su defecto a las normas que dicte la Dirección de Obra.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Se entiende que los espesores de los mantos de escollera señalados en los planos de Proyecto son espesores mínimos, no admitiéndose en ningún caso tolerancia en menos al respecto. En cuanto a las tolerancias en más, que en cualquier caso no serán de abono, se aceptará un sobreancho del manto de un veinte por ciento (20%) del espesor del manto en la base y cero en la coronación del mismo, siempre y cuando resulten taludes más tendidos que los del proyecto y el sobreancho medio resultante sea inferior al cinco por ciento (5%) del espesor del manto.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 escollera de piedras sueltas se abonará por metros cúbicos (m</w:t>
      </w:r>
      <w:r>
        <w:rPr>
          <w:vertAlign w:val="superscript"/>
        </w:rPr>
        <w:t>3</w:t>
      </w:r>
      <w:r>
        <w:t>) realmente colocados en obra para obtener las secciones indicadas en Proyecto, medidos sobre perfil y se abonará por la aplicación de los precios, según peso, que figuren en el Cuadro de Precios vigente de Canal de Isabel II Gestión.</w:t>
      </w:r>
    </w:p>
    <w:p w:rsidR="00C7085E" w:rsidRDefault="00C7085E" w:rsidP="00B71B1A">
      <w:pPr>
        <w:spacing w:before="120" w:after="240" w:line="276" w:lineRule="auto"/>
        <w:ind w:right="-285"/>
      </w:pPr>
      <w:r>
        <w:t>En el caso de disponerse de un filtro geotextil, esta unidad se medirá por metros cuadrados (m</w:t>
      </w:r>
      <w:r>
        <w:rPr>
          <w:vertAlign w:val="superscript"/>
        </w:rPr>
        <w:t>2</w:t>
      </w:r>
      <w:r>
        <w:t xml:space="preserve">) de superficie cubierta, medida sobre perfil, incluyendo su suministro y colocación. Su abono se realizará mediante la aplicación del </w:t>
      </w:r>
      <w:bookmarkStart w:id="121" w:name="_Toc414021770"/>
      <w:r>
        <w:t>precio que corresponda de los que figuren en el Cuadro de Precios vigente de Canal de Isabel II Gestión.</w:t>
      </w:r>
    </w:p>
    <w:p w:rsidR="00C7085E" w:rsidRDefault="00C7085E" w:rsidP="00B71B1A">
      <w:pPr>
        <w:pStyle w:val="Ttulo3"/>
        <w:widowControl/>
        <w:numPr>
          <w:ilvl w:val="2"/>
          <w:numId w:val="5"/>
        </w:numPr>
        <w:tabs>
          <w:tab w:val="left" w:pos="567"/>
        </w:tabs>
        <w:suppressAutoHyphens/>
        <w:snapToGrid w:val="0"/>
        <w:spacing w:before="120" w:after="240" w:line="276" w:lineRule="auto"/>
        <w:ind w:left="1701" w:right="-285" w:hanging="1701"/>
      </w:pPr>
      <w:bookmarkStart w:id="122" w:name="_Toc448741393"/>
      <w:r>
        <w:lastRenderedPageBreak/>
        <w:t>Muro de gaviones metálicos</w:t>
      </w:r>
      <w:bookmarkEnd w:id="121"/>
      <w:bookmarkEnd w:id="122"/>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keepNext/>
        <w:spacing w:before="120" w:after="240" w:line="276" w:lineRule="auto"/>
        <w:ind w:right="-285"/>
      </w:pPr>
      <w:r>
        <w:t>Los materiales a emplear para la ejecución de muros o fábricas de gaviones deberán cumplir las especificaciones del Pliego de Prescripciones Técnicas Generales para Obras de Carreteras y Puentes (PG-3) en su artículo 659.2.</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rPr>
          <w:rFonts w:cs="Arial"/>
        </w:rPr>
        <w:t xml:space="preserve">La ejecución de esta unidad de obra deberá ajustarse a las prescripciones exigidas en el artículo 659.4 del </w:t>
      </w:r>
      <w:r>
        <w:t>Pliego de Prescripciones Técnicas Generales para Obras de Carreteras y Puentes (PG-3).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 Control de calidad</w:t>
      </w:r>
    </w:p>
    <w:p w:rsidR="00C7085E" w:rsidRDefault="00C7085E" w:rsidP="00B71B1A">
      <w:pPr>
        <w:spacing w:before="120" w:after="240" w:line="276" w:lineRule="auto"/>
        <w:ind w:right="-285"/>
      </w:pPr>
      <w:r>
        <w:t>Las aristas y bordes de los gaviones estarán formadas por alambre galvanizado cuyo diámetro será como mínimo un veinte por ciento (20%) superior al que se emplea en el enrejado. Se admitirá una tolerancia del dos y medio por ciento (2,5%) en el calibre del alambre después de tejido.</w:t>
      </w:r>
    </w:p>
    <w:p w:rsidR="00C7085E" w:rsidRDefault="00C7085E" w:rsidP="00B71B1A">
      <w:pPr>
        <w:spacing w:before="120" w:after="240" w:line="276" w:lineRule="auto"/>
        <w:ind w:right="-285"/>
      </w:pPr>
      <w:r>
        <w:t>No se admiten tolerancias en las aperturas de la malla, las cuales no podrán ser inferiores a cinco por siete centímetros (5x7 cm) ni superiores a ocho por diez centímetros (8x10 cm).</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 fábrica de gaviones se medirá por metros cúbicos (m</w:t>
      </w:r>
      <w:r>
        <w:rPr>
          <w:vertAlign w:val="superscript"/>
        </w:rPr>
        <w:t>3</w:t>
      </w:r>
      <w:r>
        <w:t>) realmente colocados, medidos en su emplazamiento. La descripción del precio incluye todos los materiales y operaciones necesarios para dejar totalmente acabada e instalada la unidad de obra en su emplazamiento definitivo.</w:t>
      </w:r>
    </w:p>
    <w:p w:rsidR="00C7085E" w:rsidRDefault="00C7085E" w:rsidP="00B71B1A">
      <w:pPr>
        <w:spacing w:before="120" w:after="240" w:line="276" w:lineRule="auto"/>
        <w:ind w:right="-285"/>
      </w:pPr>
      <w:r>
        <w:t>El abono de esta unidad de obra se realizará al precio que corresponda, en función del material utilizado y de la altura, de los que figuren en el Cuadro de Precios vigente de Canal de Isabel II Gestión.</w:t>
      </w:r>
    </w:p>
    <w:p w:rsidR="00C7085E" w:rsidRDefault="00C7085E" w:rsidP="00B71B1A">
      <w:pPr>
        <w:spacing w:before="120" w:after="240" w:line="276" w:lineRule="auto"/>
        <w:ind w:right="-285"/>
      </w:pPr>
      <w:r>
        <w:t>La protección de taludes también podrá medirse por metros cuadrados (m</w:t>
      </w:r>
      <w:r>
        <w:rPr>
          <w:vertAlign w:val="superscript"/>
        </w:rPr>
        <w:t>2</w:t>
      </w:r>
      <w:r>
        <w:t xml:space="preserve">) de gavión colocado y se abonará al precio que corresponda de los </w:t>
      </w:r>
      <w:bookmarkStart w:id="123" w:name="_Toc414021771"/>
      <w:r>
        <w:t>que figuren en el Cuadro de Precios vigente de Canal de Isabel II Gestión.</w:t>
      </w:r>
    </w:p>
    <w:p w:rsidR="009A5015" w:rsidRDefault="009A5015" w:rsidP="00B71B1A">
      <w:pPr>
        <w:widowControl/>
        <w:autoSpaceDE/>
        <w:autoSpaceDN/>
        <w:adjustRightInd/>
        <w:spacing w:line="276" w:lineRule="auto"/>
        <w:ind w:right="-285"/>
        <w:jc w:val="left"/>
        <w:rPr>
          <w:rFonts w:ascii="Arial Negrita" w:hAnsi="Arial Negrita"/>
          <w:b/>
          <w:snapToGrid w:val="0"/>
        </w:rPr>
      </w:pPr>
      <w:r>
        <w:br w:type="page"/>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24" w:name="_Toc448741394"/>
      <w:r>
        <w:lastRenderedPageBreak/>
        <w:t>Relleno localizado en trasdós de muros</w:t>
      </w:r>
      <w:bookmarkEnd w:id="123"/>
      <w:bookmarkEnd w:id="124"/>
    </w:p>
    <w:p w:rsidR="00C7085E" w:rsidRDefault="00C7085E" w:rsidP="00B71B1A">
      <w:pPr>
        <w:spacing w:before="120" w:after="240" w:line="276" w:lineRule="auto"/>
        <w:ind w:right="-285"/>
      </w:pPr>
      <w:r>
        <w:t xml:space="preserve">Esta unidad consiste en el relleno con materiales procedentes de la excavación o de préstamos del trasdós de obras de fábrica y estructuras (arquetas, casetas, fosos, muros, etc.), que por su reducida extensión, compromiso estructural u otra causa, no permita la utilización de los mismos equipos de maquinaria con que se lleva a cabo la ejecución del resto del relleno, o bien exija unos cuidados especiales en su construcción. </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keepNext/>
        <w:spacing w:before="120" w:after="240" w:line="276" w:lineRule="auto"/>
        <w:ind w:right="-285"/>
      </w:pPr>
      <w:r>
        <w:t>Los materiales para rellenos localizados en trasdós de muros cumplirán las especificaciones que para “suelos adecuados” establece el Pliego de Prescripciones Técnicas Generales para Obras de Carreteras y Puentes (PG-3) en su artículo 330.3.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rPr>
          <w:rFonts w:cs="Arial"/>
        </w:rPr>
      </w:pPr>
      <w:r>
        <w:rPr>
          <w:rFonts w:cs="Arial"/>
        </w:rPr>
        <w:t xml:space="preserve">La ejecución de esta unidad de obra deberá ajustarse a las prescripciones exigidas en el artículo 332.5 del </w:t>
      </w:r>
      <w:r>
        <w:t>Pliego de Prescripciones Técnicas Generales para Obras de Carreteras y Puentes (PG-3).</w:t>
      </w:r>
    </w:p>
    <w:p w:rsidR="00C7085E" w:rsidRDefault="00C7085E" w:rsidP="00B71B1A">
      <w:pPr>
        <w:spacing w:before="120" w:after="240" w:line="276" w:lineRule="auto"/>
        <w:ind w:right="-285"/>
      </w:pPr>
      <w:r>
        <w:t xml:space="preserve">Los materiales de relleno se extenderán en tongadas sucesivas de treinta centímetros (30 cm) de espesor y compactadas al noventa y cinco por ciento (95%) del ensayo Proctor Modificado. </w:t>
      </w:r>
    </w:p>
    <w:p w:rsidR="00C7085E" w:rsidRDefault="00C7085E" w:rsidP="00B71B1A">
      <w:pPr>
        <w:spacing w:before="120" w:after="240" w:line="276" w:lineRule="auto"/>
        <w:ind w:right="-285"/>
      </w:pPr>
      <w:r>
        <w:t>La terminación y refino de la explanada se ejecutará según se especifica en el artículo 340 del PG-3.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los materiales</w:t>
      </w:r>
    </w:p>
    <w:p w:rsidR="00C7085E" w:rsidRDefault="00C7085E" w:rsidP="00B71B1A">
      <w:pPr>
        <w:spacing w:before="120" w:after="240" w:line="276" w:lineRule="auto"/>
        <w:ind w:right="-285"/>
      </w:pPr>
      <w:r>
        <w:t>Se realizarán los mismos ensayos y con la misma frecuencia que para los materiales utilizados como terraplenes.</w:t>
      </w:r>
    </w:p>
    <w:p w:rsidR="00C7085E" w:rsidRDefault="00C7085E" w:rsidP="00B71B1A">
      <w:pPr>
        <w:spacing w:before="120" w:after="240" w:line="276" w:lineRule="auto"/>
        <w:ind w:right="-285"/>
        <w:rPr>
          <w:u w:val="single"/>
        </w:rPr>
      </w:pPr>
      <w:r>
        <w:rPr>
          <w:u w:val="single"/>
        </w:rPr>
        <w:t>Control de calidad de la ejecución</w:t>
      </w:r>
    </w:p>
    <w:p w:rsidR="00C7085E" w:rsidRDefault="00C7085E" w:rsidP="00B71B1A">
      <w:pPr>
        <w:spacing w:before="120" w:after="240" w:line="276" w:lineRule="auto"/>
        <w:ind w:right="-285"/>
      </w:pPr>
      <w:r>
        <w:t>Se realizarán los mismos ensayos y con la misma frecuencia que para los materiales utilizados como terraplenes.</w:t>
      </w:r>
    </w:p>
    <w:p w:rsidR="00C7085E" w:rsidRDefault="00C7085E" w:rsidP="00B71B1A">
      <w:pPr>
        <w:spacing w:before="120" w:after="240" w:line="276" w:lineRule="auto"/>
        <w:ind w:right="-285"/>
      </w:pPr>
      <w:r>
        <w:t>Las tolerancias de acabado serán las indicadas en el artículo 340.3 del PG-3.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volúmenes de abono correspondientes se determinarán por diferencia entre perfiles transversales tomados antes y después de realizar las operaciones. No se considerarán de abono los volúmenes de relleno que sean consecuencia de excavaciones no abonables según las normas del presente Pliego.</w:t>
      </w:r>
    </w:p>
    <w:p w:rsidR="00C7085E" w:rsidRDefault="00C7085E" w:rsidP="00B71B1A">
      <w:pPr>
        <w:spacing w:before="120" w:after="240" w:line="276" w:lineRule="auto"/>
        <w:ind w:right="-285"/>
      </w:pPr>
      <w:r>
        <w:t>La medición se realizará por metros cúbicos (m</w:t>
      </w:r>
      <w:r>
        <w:rPr>
          <w:vertAlign w:val="superscript"/>
        </w:rPr>
        <w:t>3</w:t>
      </w:r>
      <w:r>
        <w:t xml:space="preserve">) realmente colocados y serán abonados, </w:t>
      </w:r>
      <w:r>
        <w:lastRenderedPageBreak/>
        <w:t>dependiendo de la procedencia del material, según el precio que corresponda de los que figuren en el Cuadro de Precios vigente de Canal de Isabel II Gestión.</w:t>
      </w:r>
    </w:p>
    <w:p w:rsidR="00C7085E" w:rsidRDefault="00C7085E" w:rsidP="00B71B1A">
      <w:pPr>
        <w:spacing w:before="120" w:after="240" w:line="276" w:lineRule="auto"/>
        <w:ind w:right="-285"/>
      </w:pPr>
      <w:r>
        <w:t>El precio incluye la carga y transporte  del material a usar como relleno localizado desde cualquier punto de la obra, cantera o préstamo, el vertido extendido en capas, la nivelación, el riego y la compactación al grado exigido.</w:t>
      </w:r>
    </w:p>
    <w:p w:rsidR="00C7085E" w:rsidRDefault="00C7085E" w:rsidP="00B71B1A">
      <w:pPr>
        <w:pStyle w:val="Ttulo3"/>
        <w:widowControl/>
        <w:numPr>
          <w:ilvl w:val="2"/>
          <w:numId w:val="5"/>
        </w:numPr>
        <w:tabs>
          <w:tab w:val="left" w:pos="567"/>
        </w:tabs>
        <w:suppressAutoHyphens/>
        <w:snapToGrid w:val="0"/>
        <w:spacing w:before="120" w:after="240" w:line="276" w:lineRule="auto"/>
        <w:ind w:left="1701" w:right="-285" w:hanging="1701"/>
      </w:pPr>
      <w:bookmarkStart w:id="125" w:name="_Toc414021772"/>
      <w:bookmarkStart w:id="126" w:name="_Toc448741395"/>
      <w:r>
        <w:t>Geotextiles</w:t>
      </w:r>
      <w:bookmarkEnd w:id="125"/>
      <w:bookmarkEnd w:id="126"/>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keepNext/>
        <w:spacing w:before="120" w:after="240" w:line="276" w:lineRule="auto"/>
        <w:ind w:right="-285"/>
      </w:pPr>
      <w:r>
        <w:t>Los materiales a emplear como geotextiles deberán cumplir las especificaciones indicadas en el Pliego de Prescripciones Técnicas Generales para Obras de Carreteras y Puentes (PG-3) en sus artículos 290 y 422.</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rPr>
          <w:rFonts w:cs="Arial"/>
        </w:rPr>
        <w:t xml:space="preserve">La ejecución de esta unidad de obra deberá ajustarse a las prescripciones exigidas en el artículo 422.3 del </w:t>
      </w:r>
      <w:r>
        <w:t>Pliego de Prescripciones Técnicas Generales para Obras de Carreteras y Puentes (PG-3), con las limitaciones de ejecución contenidas en su artículo 422.4.</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geotextiles se medirán y abonarán por metro cuadrado (m</w:t>
      </w:r>
      <w:r>
        <w:rPr>
          <w:vertAlign w:val="superscript"/>
        </w:rPr>
        <w:t>2</w:t>
      </w:r>
      <w:r>
        <w:t>) de superficie recubierta o envuelta, mediante la aplicación del precio que corresponda de los que figuren en el Cuadro de Precios vigente de Canal de Isabel II Gestión.</w:t>
      </w:r>
    </w:p>
    <w:p w:rsidR="00C7085E" w:rsidRDefault="00C7085E" w:rsidP="00B71B1A">
      <w:pPr>
        <w:spacing w:before="120" w:after="240" w:line="276" w:lineRule="auto"/>
        <w:ind w:right="-285"/>
      </w:pPr>
      <w:r>
        <w:t>El precio incluye todos los elementos necesarios para la colocación y puesta en obra del geotextil, así como su transporte a obra y la parte proporcional de solapes.</w:t>
      </w:r>
    </w:p>
    <w:p w:rsidR="009A5015" w:rsidRDefault="009A5015" w:rsidP="00B71B1A">
      <w:pPr>
        <w:widowControl/>
        <w:autoSpaceDE/>
        <w:autoSpaceDN/>
        <w:adjustRightInd/>
        <w:spacing w:line="276" w:lineRule="auto"/>
        <w:ind w:right="-285"/>
        <w:jc w:val="left"/>
        <w:rPr>
          <w:rFonts w:ascii="Arial Negrita" w:hAnsi="Arial Negrita"/>
          <w:b/>
          <w:snapToGrid w:val="0"/>
        </w:rPr>
      </w:pPr>
      <w:bookmarkStart w:id="127" w:name="_Toc414021773"/>
      <w:r>
        <w:br w:type="page"/>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28" w:name="_Toc448741396"/>
      <w:r>
        <w:lastRenderedPageBreak/>
        <w:t>Banda de señalización</w:t>
      </w:r>
      <w:bookmarkEnd w:id="127"/>
      <w:bookmarkEnd w:id="128"/>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El material a utilizar en las bandas de señalización será plástico y deberá ser resistente e insensible a los microorganismos.</w:t>
      </w:r>
    </w:p>
    <w:p w:rsidR="00C7085E" w:rsidRDefault="00C7085E" w:rsidP="00B71B1A">
      <w:pPr>
        <w:spacing w:before="120" w:after="240" w:line="276" w:lineRule="auto"/>
        <w:ind w:right="-285"/>
      </w:pPr>
      <w:r>
        <w:t>El color de la banda dependerá del uso para el que esté destinada la conducción. Además dicho uso queda reflejado mediante una leyenda impresa en la propia banda.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Se colocará a una distancia de medio metro (0,50 m) sobre la generatriz superior de la conducción.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 banda de señalización se medirá por metros (m) realmente colocados y se abonará al precio que figure en el Cuadro de Precios vigente de Canal de Isabel II Gestión.</w:t>
      </w:r>
    </w:p>
    <w:p w:rsidR="00C7085E" w:rsidRPr="00894B2B" w:rsidRDefault="00796B4E" w:rsidP="00B71B1A">
      <w:pPr>
        <w:pStyle w:val="Ttulo2"/>
        <w:numPr>
          <w:ilvl w:val="1"/>
          <w:numId w:val="5"/>
        </w:numPr>
        <w:snapToGrid/>
        <w:spacing w:before="400" w:after="400" w:line="276" w:lineRule="auto"/>
        <w:ind w:left="0" w:right="-285"/>
        <w:rPr>
          <w:caps w:val="0"/>
        </w:rPr>
      </w:pPr>
      <w:bookmarkStart w:id="129" w:name="_Toc414021775"/>
      <w:bookmarkStart w:id="130" w:name="_Toc448741397"/>
      <w:r w:rsidRPr="00796B4E">
        <w:rPr>
          <w:caps w:val="0"/>
        </w:rPr>
        <w:t>ESTRUCTURAS DE HORMIGÓN</w:t>
      </w:r>
      <w:bookmarkEnd w:id="129"/>
      <w:bookmarkEnd w:id="130"/>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31" w:name="_Toc414021776"/>
      <w:bookmarkStart w:id="132" w:name="_Toc448741398"/>
      <w:r>
        <w:t>Cimbras, encofrados y moldes</w:t>
      </w:r>
      <w:bookmarkEnd w:id="131"/>
      <w:bookmarkEnd w:id="132"/>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keepNext/>
        <w:spacing w:before="120" w:after="240" w:line="276" w:lineRule="auto"/>
        <w:ind w:right="-285"/>
      </w:pPr>
      <w:r>
        <w:t>Las cimbras, encofrados y moldes deberán cumplir las exigencias contenidas en la Instrucción de Hormigón Estructural (EHE).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Las cimbras, encofrados y moldes se ejecutarán de acuerdo a lo dispuesto en el artículo 68º la Instrucción de Hormigón Estructural (EHE).</w:t>
      </w:r>
    </w:p>
    <w:p w:rsidR="00C7085E" w:rsidRDefault="00C7085E" w:rsidP="00B71B1A">
      <w:pPr>
        <w:spacing w:before="120" w:after="240" w:line="276" w:lineRule="auto"/>
        <w:ind w:right="-285"/>
      </w:pPr>
      <w:r>
        <w:t>El desencofrado, desmoldeo y descimbrado se ejecutarán de acuerdo con los artículos 73º y 74º de la Instrucción de Hormigón Estructural (EHE).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Para el control de calidad de atenderá a lo especificado en los artículos 94.3 y 94.4 de la Instrucción de Hormigón Estructural (EHE).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encofrados se medirán por metro cuadrado (m</w:t>
      </w:r>
      <w:r>
        <w:rPr>
          <w:vertAlign w:val="superscript"/>
        </w:rPr>
        <w:t>2</w:t>
      </w:r>
      <w:r>
        <w:t>) de superficie de hormigón realmente ejecutada, y medida sobre planos. A tal efecto, los forjados se considerarán encofrados por la cara inferior y bordes laterales, y las vigas por sus laterales y fondos.</w:t>
      </w:r>
    </w:p>
    <w:p w:rsidR="00C7085E" w:rsidRDefault="00C7085E" w:rsidP="00B71B1A">
      <w:pPr>
        <w:spacing w:before="120" w:after="240" w:line="276" w:lineRule="auto"/>
        <w:ind w:right="-285"/>
      </w:pPr>
      <w:r>
        <w:t xml:space="preserve">Las unidades incluyen el desencofrado y la limpieza, así como los apuntalamientos, </w:t>
      </w:r>
      <w:r>
        <w:lastRenderedPageBreak/>
        <w:t>tensores y todas las piezas necesarias (molduras, berenjenos, velas, cimbras y andamiaje, etc.) para la correcta realización de las mismas.</w:t>
      </w:r>
    </w:p>
    <w:p w:rsidR="00C7085E" w:rsidRDefault="00C7085E" w:rsidP="00B71B1A">
      <w:pPr>
        <w:spacing w:before="120" w:after="240" w:line="276" w:lineRule="auto"/>
        <w:ind w:right="-285"/>
      </w:pPr>
      <w:r>
        <w:t>Los encofrados se abonarán aplicando el precio que corresponda de los que figuren en el Cuadro de Precios vigente de Canal de Isabel II Gestión.</w:t>
      </w:r>
    </w:p>
    <w:p w:rsidR="00C7085E" w:rsidRDefault="00C7085E" w:rsidP="00B71B1A">
      <w:pPr>
        <w:spacing w:before="120" w:after="240" w:line="276" w:lineRule="auto"/>
        <w:ind w:right="-285"/>
      </w:pPr>
      <w:r>
        <w:t>El cimbrado de elementos estructurales se medirá por metros cúbicos (m</w:t>
      </w:r>
      <w:r>
        <w:rPr>
          <w:vertAlign w:val="superscript"/>
        </w:rPr>
        <w:t>3</w:t>
      </w:r>
      <w:r>
        <w:t xml:space="preserve">) medidos entre el paramento inferior de la obra y la proyección en planta de la misma, y se abonará mediante la aplicación del precio </w:t>
      </w:r>
      <w:bookmarkStart w:id="133" w:name="_Toc414021777"/>
      <w:r>
        <w:t>que corresponda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34" w:name="_Toc448741399"/>
      <w:r>
        <w:t>Acero para armaduras</w:t>
      </w:r>
      <w:bookmarkEnd w:id="133"/>
      <w:bookmarkEnd w:id="134"/>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rPr>
          <w:i/>
        </w:rPr>
      </w:pPr>
      <w:r>
        <w:t>Los aceros para armaduras de hormigón armado cumplirán las exigencias contenidas en los artículos, 32º y 33º de la Instrucción de Hormigón Estructural (EHE). Asimismo, las barras corrugadas, mallas electrosoldadas y las armaduras básicas electrosoldadas en celosía se regirán por la norma UNE-EN 10080: “</w:t>
      </w:r>
      <w:r>
        <w:rPr>
          <w:i/>
        </w:rPr>
        <w:t>Acero para el armado del hormigón. Acero soldable para armaduras de hormigón armado. Generalidades.”</w:t>
      </w:r>
    </w:p>
    <w:p w:rsidR="00C7085E" w:rsidRDefault="00C7085E" w:rsidP="00B71B1A">
      <w:pPr>
        <w:spacing w:before="120" w:after="240" w:line="276" w:lineRule="auto"/>
        <w:ind w:right="-285"/>
      </w:pPr>
      <w:r>
        <w:t>Los aceros para armaduras de hormigón pretensado cumplirán las exigencias contenidas en el artículo 34º de la Instrucción de Hormigón Estructural (EHE).</w:t>
      </w:r>
    </w:p>
    <w:p w:rsidR="00C7085E" w:rsidRDefault="00C7085E" w:rsidP="00B71B1A">
      <w:pPr>
        <w:spacing w:before="120" w:after="240" w:line="276" w:lineRule="auto"/>
        <w:ind w:right="-285"/>
      </w:pPr>
      <w:r>
        <w:t>Las vainas y accesorios, así como los productos de inyección se regirán por lo estipulado en el artículo 35º de la Instrucción de Hormigón Estructural (EHE).</w:t>
      </w:r>
    </w:p>
    <w:p w:rsidR="00C7085E" w:rsidRDefault="00C7085E" w:rsidP="00B71B1A">
      <w:pPr>
        <w:spacing w:before="120" w:after="240" w:line="276" w:lineRule="auto"/>
        <w:ind w:right="-285"/>
        <w:rPr>
          <w:i/>
        </w:rPr>
      </w:pPr>
      <w:r>
        <w:t>Los alambres, barras y cordones para armaduras de hormigón pretensado se regirán por la norma UNE 36094: “</w:t>
      </w:r>
      <w:r>
        <w:rPr>
          <w:i/>
        </w:rPr>
        <w:t>Alambres y cordones de acero para armaduras de hormigón pretensado.”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rPr>
          <w:i/>
        </w:rPr>
      </w:pPr>
      <w:r>
        <w:t>La elaboración de la ferralla y colocación de armaduras pasivas se realizará como dispone el artículo 69º de la Instrucción de Hormigón Estructural (EHE) y siguiendo las indicaciones de la UNE 36831: “</w:t>
      </w:r>
      <w:r>
        <w:rPr>
          <w:i/>
        </w:rPr>
        <w:t>Armaduras pasivas de acero para hormigón estructural. Corte, doblado y colocación de barras y mallas. Tolerancias. Formas preferentes de armado.”</w:t>
      </w:r>
    </w:p>
    <w:p w:rsidR="00C7085E" w:rsidRDefault="00C7085E" w:rsidP="00B71B1A">
      <w:pPr>
        <w:spacing w:before="120" w:after="240" w:line="276" w:lineRule="auto"/>
        <w:ind w:right="-285"/>
        <w:rPr>
          <w:i/>
        </w:rPr>
      </w:pPr>
      <w:r>
        <w:t>La colocación y el tesado de las armaduras activas se realizarán según se especifica en el artículo 70º de la EHE, así como la norma UNE 36094.</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Se atenderá a lo indicado en los artículos, 87º, 88º, 89º, 90º, 95º y 96º de la Instrucción de Hormigón Estructural (EHE).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 xml:space="preserve">Las armaduras de hormigón armado se medirán por su peso en kilogramos (kg), aplicando </w:t>
      </w:r>
      <w:r>
        <w:lastRenderedPageBreak/>
        <w:t>para cada tipo de acero los precios unitarios correspondientes a las longitudes realmente ejecutadas. Cuando el peso se deduce a partir de las secciones transversales, el peso unitario será de siete mil ochocientos cincuenta kilogramos por metro cúbico. (7.850 kg/m</w:t>
      </w:r>
      <w:r>
        <w:rPr>
          <w:vertAlign w:val="superscript"/>
        </w:rPr>
        <w:t>3</w:t>
      </w:r>
      <w:r>
        <w:t>).</w:t>
      </w:r>
    </w:p>
    <w:p w:rsidR="00C7085E" w:rsidRDefault="00C7085E" w:rsidP="00B71B1A">
      <w:pPr>
        <w:spacing w:before="120" w:after="240" w:line="276" w:lineRule="auto"/>
        <w:ind w:right="-285"/>
      </w:pPr>
      <w:r>
        <w:t>En el precio se incluyen el suministro y colocación del acero, así como el cortado, doblado y recortes que sean necesarios para la correcta ejecución de la unidad.</w:t>
      </w:r>
    </w:p>
    <w:p w:rsidR="00C7085E" w:rsidRDefault="00C7085E" w:rsidP="00B71B1A">
      <w:pPr>
        <w:spacing w:before="120" w:after="240" w:line="276" w:lineRule="auto"/>
        <w:ind w:right="-285"/>
      </w:pPr>
      <w:r>
        <w:t>Las armaduras se abonarán aplicando el precio que corresponda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35" w:name="_Toc414021778"/>
      <w:bookmarkStart w:id="136" w:name="_Ref394049924"/>
      <w:bookmarkStart w:id="137" w:name="_Ref394049879"/>
      <w:bookmarkStart w:id="138" w:name="_Toc448741400"/>
      <w:r>
        <w:t>Hormig</w:t>
      </w:r>
      <w:bookmarkEnd w:id="135"/>
      <w:bookmarkEnd w:id="136"/>
      <w:bookmarkEnd w:id="137"/>
      <w:r>
        <w:t>ones y morteros</w:t>
      </w:r>
      <w:bookmarkEnd w:id="138"/>
    </w:p>
    <w:p w:rsidR="009A5015" w:rsidRDefault="00C7085E" w:rsidP="00B71B1A">
      <w:pPr>
        <w:spacing w:before="120" w:after="240" w:line="276" w:lineRule="auto"/>
        <w:ind w:right="-285"/>
      </w:pPr>
      <w:r>
        <w:t>Los hormigones a utilizar se tipificarán de acuerdo a lo establecido en el artículo 39.2 de la EHE.</w:t>
      </w:r>
    </w:p>
    <w:p w:rsidR="00C7085E" w:rsidRDefault="00C7085E" w:rsidP="00B71B1A">
      <w:pPr>
        <w:spacing w:before="120" w:after="240" w:line="276" w:lineRule="auto"/>
        <w:ind w:right="-285"/>
      </w:pPr>
      <w:r>
        <w:t>Las clases específicas de los hormigones que se empleen en las obras se recogerán en una tabla similar a la adjunta, la cual deberá reflejarse en los planos de Proyecto:</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633"/>
        <w:gridCol w:w="1633"/>
        <w:gridCol w:w="1647"/>
        <w:gridCol w:w="1633"/>
        <w:gridCol w:w="1633"/>
      </w:tblGrid>
      <w:tr w:rsidR="00C7085E" w:rsidTr="00C7085E">
        <w:trPr>
          <w:jc w:val="center"/>
        </w:trPr>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b/>
              </w:rPr>
            </w:pPr>
            <w:r>
              <w:rPr>
                <w:b/>
              </w:rPr>
              <w:t>Hormigón</w:t>
            </w:r>
          </w:p>
        </w:tc>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b/>
              </w:rPr>
            </w:pPr>
            <w:r>
              <w:rPr>
                <w:b/>
              </w:rPr>
              <w:t>Localización</w:t>
            </w:r>
          </w:p>
        </w:tc>
        <w:tc>
          <w:tcPr>
            <w:tcW w:w="1647"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b/>
              </w:rPr>
            </w:pPr>
            <w:r>
              <w:rPr>
                <w:b/>
              </w:rPr>
              <w:t>Tipificación</w:t>
            </w:r>
          </w:p>
        </w:tc>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b/>
              </w:rPr>
            </w:pPr>
            <w:r>
              <w:rPr>
                <w:b/>
              </w:rPr>
              <w:t>Control</w:t>
            </w:r>
          </w:p>
        </w:tc>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b/>
              </w:rPr>
            </w:pPr>
            <w:r>
              <w:rPr>
                <w:b/>
              </w:rPr>
              <w:t>Cemento</w:t>
            </w:r>
          </w:p>
        </w:tc>
      </w:tr>
      <w:tr w:rsidR="00C7085E" w:rsidTr="00C7085E">
        <w:trPr>
          <w:jc w:val="center"/>
        </w:trPr>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rFonts w:eastAsiaTheme="minorHAnsi" w:cs="Arial"/>
                <w:szCs w:val="20"/>
              </w:rPr>
            </w:pPr>
            <w:r>
              <w:t>No</w:t>
            </w:r>
            <w:r>
              <w:rPr>
                <w:rFonts w:cs="Arial"/>
                <w:szCs w:val="20"/>
              </w:rPr>
              <w:t xml:space="preserve"> estructural</w:t>
            </w:r>
          </w:p>
        </w:tc>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rFonts w:eastAsiaTheme="minorHAnsi" w:cs="Arial"/>
                <w:szCs w:val="20"/>
              </w:rPr>
            </w:pPr>
            <w:r>
              <w:rPr>
                <w:rFonts w:cs="Arial"/>
                <w:szCs w:val="20"/>
              </w:rPr>
              <w:t>Rasanteo y limpieza</w:t>
            </w:r>
          </w:p>
        </w:tc>
        <w:tc>
          <w:tcPr>
            <w:tcW w:w="1647"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rFonts w:eastAsiaTheme="minorHAnsi" w:cs="Arial"/>
                <w:szCs w:val="20"/>
              </w:rPr>
            </w:pPr>
            <w:r>
              <w:rPr>
                <w:rFonts w:cs="Arial"/>
                <w:szCs w:val="20"/>
              </w:rPr>
              <w:t>HL-150/P/30</w:t>
            </w:r>
          </w:p>
        </w:tc>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rFonts w:eastAsiaTheme="minorHAnsi" w:cs="Arial"/>
                <w:szCs w:val="20"/>
              </w:rPr>
            </w:pPr>
            <w:r>
              <w:rPr>
                <w:rFonts w:cs="Arial"/>
                <w:szCs w:val="20"/>
              </w:rPr>
              <w:t>No aplica</w:t>
            </w:r>
          </w:p>
        </w:tc>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rFonts w:eastAsiaTheme="minorHAnsi" w:cs="Arial"/>
                <w:szCs w:val="20"/>
              </w:rPr>
            </w:pPr>
            <w:r>
              <w:rPr>
                <w:rFonts w:cs="Arial"/>
                <w:szCs w:val="20"/>
              </w:rPr>
              <w:t>CEM I 32,5 N</w:t>
            </w:r>
          </w:p>
        </w:tc>
      </w:tr>
      <w:tr w:rsidR="00C7085E" w:rsidTr="00C7085E">
        <w:trPr>
          <w:jc w:val="center"/>
        </w:trPr>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pPr>
            <w:r>
              <w:t>Estructural</w:t>
            </w:r>
          </w:p>
        </w:tc>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pPr>
            <w:r>
              <w:t>Pilares</w:t>
            </w:r>
          </w:p>
        </w:tc>
        <w:tc>
          <w:tcPr>
            <w:tcW w:w="1647"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pPr>
            <w:r>
              <w:t>HA/30/B/20/IIa</w:t>
            </w:r>
          </w:p>
        </w:tc>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pPr>
            <w:r>
              <w:t>Normal</w:t>
            </w:r>
          </w:p>
        </w:tc>
        <w:tc>
          <w:tcPr>
            <w:tcW w:w="1633"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pPr>
            <w:r>
              <w:t>CEM II 32,5 R</w:t>
            </w:r>
          </w:p>
        </w:tc>
      </w:tr>
      <w:tr w:rsidR="00C7085E" w:rsidTr="00C7085E">
        <w:trPr>
          <w:jc w:val="center"/>
        </w:trPr>
        <w:tc>
          <w:tcPr>
            <w:tcW w:w="1633"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pPr>
          </w:p>
        </w:tc>
        <w:tc>
          <w:tcPr>
            <w:tcW w:w="1633"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pPr>
          </w:p>
        </w:tc>
        <w:tc>
          <w:tcPr>
            <w:tcW w:w="1647"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pPr>
          </w:p>
        </w:tc>
        <w:tc>
          <w:tcPr>
            <w:tcW w:w="1633"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pPr>
          </w:p>
        </w:tc>
        <w:tc>
          <w:tcPr>
            <w:tcW w:w="1633"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pPr>
          </w:p>
        </w:tc>
      </w:tr>
    </w:tbl>
    <w:p w:rsidR="00C7085E" w:rsidRDefault="00C7085E" w:rsidP="00B71B1A">
      <w:pPr>
        <w:pStyle w:val="Tabla"/>
        <w:keepNext/>
        <w:keepLines/>
        <w:spacing w:before="120" w:line="276" w:lineRule="auto"/>
        <w:ind w:right="-285"/>
      </w:pPr>
      <w:r>
        <w:t>Ejemplo de clases de hormigones a emplear</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pStyle w:val="Ttulo6"/>
        <w:numPr>
          <w:ilvl w:val="0"/>
          <w:numId w:val="14"/>
        </w:numPr>
        <w:tabs>
          <w:tab w:val="left" w:pos="709"/>
        </w:tabs>
        <w:snapToGrid w:val="0"/>
        <w:spacing w:before="120" w:after="240" w:line="276" w:lineRule="auto"/>
        <w:ind w:right="-285"/>
        <w:rPr>
          <w:lang w:val="es-ES_tradnl"/>
        </w:rPr>
      </w:pPr>
      <w:r>
        <w:rPr>
          <w:lang w:val="es-ES_tradnl"/>
        </w:rPr>
        <w:t>Áridos</w:t>
      </w:r>
    </w:p>
    <w:p w:rsidR="00C7085E" w:rsidRDefault="00C7085E" w:rsidP="00B71B1A">
      <w:pPr>
        <w:spacing w:before="120" w:after="240" w:line="276" w:lineRule="auto"/>
        <w:ind w:right="-285"/>
        <w:rPr>
          <w:lang w:val="es-ES_tradnl"/>
        </w:rPr>
      </w:pPr>
      <w:r>
        <w:t>Se seguirán las prescripciones de los artículos 28 y 85.2 de la Instrucción de Hormigón Estructural (EHE).</w:t>
      </w:r>
    </w:p>
    <w:p w:rsidR="00C7085E" w:rsidRDefault="00C7085E" w:rsidP="00B71B1A">
      <w:pPr>
        <w:pStyle w:val="Ttulo6"/>
        <w:numPr>
          <w:ilvl w:val="0"/>
          <w:numId w:val="14"/>
        </w:numPr>
        <w:tabs>
          <w:tab w:val="left" w:pos="709"/>
        </w:tabs>
        <w:snapToGrid w:val="0"/>
        <w:spacing w:before="120" w:after="240" w:line="276" w:lineRule="auto"/>
        <w:ind w:right="-285"/>
        <w:rPr>
          <w:lang w:val="es-ES_tradnl"/>
        </w:rPr>
      </w:pPr>
      <w:r>
        <w:rPr>
          <w:lang w:val="es-ES_tradnl"/>
        </w:rPr>
        <w:t>Cementos</w:t>
      </w:r>
    </w:p>
    <w:p w:rsidR="00C7085E" w:rsidRDefault="00C7085E" w:rsidP="00B71B1A">
      <w:pPr>
        <w:spacing w:before="120" w:after="240" w:line="276" w:lineRule="auto"/>
        <w:ind w:right="-285"/>
        <w:rPr>
          <w:lang w:val="es-ES_tradnl"/>
        </w:rPr>
      </w:pPr>
      <w:r>
        <w:t>El cemento empleado en hormigones en masa, armados o pretensados, y en morteros deberá cumplir las exigencias establecidas en la Instrucción para la Recepción de Cementos (RC-08), así como lo estipulado en el artículo 26º de la Instrucción de Hormigón Estructural (EHE).</w:t>
      </w:r>
    </w:p>
    <w:p w:rsidR="00C7085E" w:rsidRDefault="00C7085E" w:rsidP="00B71B1A">
      <w:pPr>
        <w:spacing w:before="120" w:after="240" w:line="276" w:lineRule="auto"/>
        <w:ind w:right="-285"/>
      </w:pPr>
      <w:r>
        <w:t xml:space="preserve">En todos los hormigones estructurales, el cemento será de categoría 32,5 o superior salvo justificación del Adjudicatario y autorización expresa de la Dirección de Obra. </w:t>
      </w:r>
    </w:p>
    <w:p w:rsidR="00C7085E" w:rsidRDefault="00C7085E" w:rsidP="00B71B1A">
      <w:pPr>
        <w:spacing w:before="120" w:after="240" w:line="276" w:lineRule="auto"/>
        <w:ind w:right="-285"/>
      </w:pPr>
      <w:r>
        <w:t xml:space="preserve">Deberá razonarse la utilización de cementos distintos al Cemento CEM II, en función de las </w:t>
      </w:r>
      <w:r>
        <w:lastRenderedPageBreak/>
        <w:t>características específicas de la obra y siempre dentro de los tipos contemplados en la Instrucción para la Recepción de Cementos RC-08.</w:t>
      </w:r>
    </w:p>
    <w:p w:rsidR="00C7085E" w:rsidRDefault="00C7085E" w:rsidP="00B71B1A">
      <w:pPr>
        <w:pStyle w:val="Ttulo6"/>
        <w:numPr>
          <w:ilvl w:val="0"/>
          <w:numId w:val="14"/>
        </w:numPr>
        <w:tabs>
          <w:tab w:val="left" w:pos="709"/>
        </w:tabs>
        <w:snapToGrid w:val="0"/>
        <w:spacing w:before="120" w:after="240" w:line="276" w:lineRule="auto"/>
        <w:ind w:right="-285"/>
        <w:rPr>
          <w:lang w:val="es-ES_tradnl"/>
        </w:rPr>
      </w:pPr>
      <w:r>
        <w:rPr>
          <w:lang w:val="es-ES_tradnl"/>
        </w:rPr>
        <w:t>Morteros</w:t>
      </w:r>
    </w:p>
    <w:p w:rsidR="00C7085E" w:rsidRDefault="00C7085E" w:rsidP="00B71B1A">
      <w:pPr>
        <w:spacing w:before="120" w:after="240" w:line="276" w:lineRule="auto"/>
        <w:ind w:right="-285"/>
        <w:rPr>
          <w:lang w:val="es-ES_tradnl"/>
        </w:rPr>
      </w:pPr>
      <w:r>
        <w:t xml:space="preserve">Se utilizarán los materiales adecuados a los diferentes usos teniendo en cuenta la compatibilidad de los aglomerantes. </w:t>
      </w:r>
    </w:p>
    <w:p w:rsidR="00C7085E" w:rsidRDefault="00C7085E" w:rsidP="00B71B1A">
      <w:pPr>
        <w:pStyle w:val="Ttulo6"/>
        <w:numPr>
          <w:ilvl w:val="0"/>
          <w:numId w:val="14"/>
        </w:numPr>
        <w:tabs>
          <w:tab w:val="left" w:pos="709"/>
        </w:tabs>
        <w:snapToGrid w:val="0"/>
        <w:spacing w:before="120" w:after="240" w:line="276" w:lineRule="auto"/>
        <w:ind w:right="-285"/>
        <w:rPr>
          <w:lang w:val="es-ES_tradnl"/>
        </w:rPr>
      </w:pPr>
      <w:r>
        <w:rPr>
          <w:lang w:val="es-ES_tradnl"/>
        </w:rPr>
        <w:t>Agua</w:t>
      </w:r>
    </w:p>
    <w:p w:rsidR="00C7085E" w:rsidRDefault="00C7085E" w:rsidP="00B71B1A">
      <w:pPr>
        <w:spacing w:before="120" w:after="240" w:line="276" w:lineRule="auto"/>
        <w:ind w:right="-285"/>
        <w:rPr>
          <w:lang w:val="es-ES_tradnl"/>
        </w:rPr>
      </w:pPr>
      <w:r>
        <w:t>Cumplirá todas las especificaciones incluidas en los artículos 27 y 85.5 de la Instrucción de Hormigón Estructural (EHE).</w:t>
      </w:r>
    </w:p>
    <w:p w:rsidR="00C7085E" w:rsidRDefault="00C7085E" w:rsidP="00B71B1A">
      <w:pPr>
        <w:pStyle w:val="Ttulo6"/>
        <w:numPr>
          <w:ilvl w:val="0"/>
          <w:numId w:val="14"/>
        </w:numPr>
        <w:tabs>
          <w:tab w:val="left" w:pos="709"/>
        </w:tabs>
        <w:snapToGrid w:val="0"/>
        <w:spacing w:before="120" w:after="240" w:line="276" w:lineRule="auto"/>
        <w:ind w:right="-285"/>
        <w:rPr>
          <w:lang w:val="es-ES_tradnl"/>
        </w:rPr>
      </w:pPr>
      <w:r>
        <w:rPr>
          <w:lang w:val="es-ES_tradnl"/>
        </w:rPr>
        <w:t>Adiciones para el hormigón</w:t>
      </w:r>
    </w:p>
    <w:p w:rsidR="00C7085E" w:rsidRDefault="00C7085E" w:rsidP="00B71B1A">
      <w:pPr>
        <w:spacing w:before="120" w:after="240" w:line="276" w:lineRule="auto"/>
        <w:ind w:right="-285"/>
        <w:rPr>
          <w:lang w:val="es-ES_tradnl"/>
        </w:rPr>
      </w:pPr>
      <w:r>
        <w:t>Las adiciones al hormigón cumplirán lo prescrito en los artículos 30 y 85.4 de la Instrucción de Hormigón Estructural (EHE).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 dosificación, fabricación, transporte a obra y puesta en obra del hormigón, así como la realización de juntas de hormigonado, el hormigonado en tiempo frío o en tiempo caluroso y el curado del hormigón, se realizarán de acuerdo con las especificaciones contenidas en sus correspondientes artículos de la Instrucción de Hormigón Estructural (EHE).</w:t>
      </w:r>
    </w:p>
    <w:p w:rsidR="00C7085E" w:rsidRDefault="00C7085E" w:rsidP="00B71B1A">
      <w:pPr>
        <w:spacing w:before="120" w:after="240" w:line="276" w:lineRule="auto"/>
        <w:ind w:right="-285"/>
      </w:pPr>
      <w:r>
        <w:t xml:space="preserve">Para las obras de hormigón, tanto en masa como armado o pretensado, las bases de cálculo, acciones, etc., seguirán las especificaciones establecidas en los capítulos 2 y 3 de la Instrucción de Hormigón Estructural (EHE), siendo imprescindible en todos los casos la comprobación de las condiciones de fisuración de los elementos estructurales </w:t>
      </w:r>
    </w:p>
    <w:p w:rsidR="00C7085E" w:rsidRDefault="00C7085E" w:rsidP="00B71B1A">
      <w:pPr>
        <w:spacing w:before="120" w:after="240" w:line="276" w:lineRule="auto"/>
        <w:ind w:right="-285"/>
      </w:pPr>
      <w:r>
        <w:t>No se efectuará el hormigonado de ningún elemento estructural sin la conformidad expresa de la Dirección de Obra, una vez que hayan revisado las armaduras y se considere correcta su colocación.</w:t>
      </w:r>
    </w:p>
    <w:p w:rsidR="00C7085E" w:rsidRDefault="00C7085E" w:rsidP="00B71B1A">
      <w:pPr>
        <w:spacing w:before="120" w:after="240" w:line="276" w:lineRule="auto"/>
        <w:ind w:right="-285"/>
      </w:pPr>
      <w:r>
        <w:t>Salvo indicación expresa de lo contrario por parte del Dirección de Obra, los elementos estructurales no se hormigonarán contra el terreno directamente, sino que se adoptará siempre una capa intermedia de limpieza y regularización de diez centímetros (10 cm).</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los materiales</w:t>
      </w:r>
    </w:p>
    <w:p w:rsidR="00C7085E" w:rsidRDefault="00C7085E" w:rsidP="00B71B1A">
      <w:pPr>
        <w:widowControl/>
        <w:numPr>
          <w:ilvl w:val="0"/>
          <w:numId w:val="8"/>
        </w:numPr>
        <w:spacing w:before="120" w:after="240" w:line="276" w:lineRule="auto"/>
        <w:ind w:right="-285"/>
      </w:pPr>
      <w:r>
        <w:t>Cemento</w:t>
      </w:r>
    </w:p>
    <w:p w:rsidR="00C7085E" w:rsidRDefault="00C7085E" w:rsidP="00B71B1A">
      <w:pPr>
        <w:spacing w:before="120" w:after="240" w:line="276" w:lineRule="auto"/>
        <w:ind w:right="-285"/>
      </w:pPr>
      <w:r>
        <w:t>La toma de muestras y los ensayos aplicables en función del tipo de cemento empleado, se realizarán según se especifica en la Instrucción para la Recepción de Cementos (RC-08).</w:t>
      </w:r>
    </w:p>
    <w:p w:rsidR="00C7085E" w:rsidRDefault="00C7085E" w:rsidP="00B71B1A">
      <w:pPr>
        <w:spacing w:before="120" w:after="240" w:line="276" w:lineRule="auto"/>
        <w:ind w:right="-285"/>
      </w:pPr>
      <w:r>
        <w:t xml:space="preserve">Se realizarán antes de comenzar el hormigonado o si varían las condiciones de suministro. </w:t>
      </w:r>
    </w:p>
    <w:p w:rsidR="00C7085E" w:rsidRDefault="00C7085E" w:rsidP="00B71B1A">
      <w:pPr>
        <w:spacing w:before="120" w:after="240" w:line="276" w:lineRule="auto"/>
        <w:ind w:right="-285"/>
      </w:pPr>
      <w:r>
        <w:lastRenderedPageBreak/>
        <w:t>Durante la ejecución de las obras, se realizarán ensayos una vez cada tres meses y como mínimo tres veces durante la ejecución de la obra.</w:t>
      </w:r>
    </w:p>
    <w:p w:rsidR="00C7085E" w:rsidRDefault="00C7085E" w:rsidP="00B71B1A">
      <w:pPr>
        <w:spacing w:before="120" w:after="240" w:line="276" w:lineRule="auto"/>
        <w:ind w:right="-285"/>
      </w:pPr>
      <w:r>
        <w:t>La  Dirección de Obra podrá sustituir estos ensayos previos por el certificado de ensayos enviado por el fabricante y correspondiente a la partida que se va utilizar.</w:t>
      </w:r>
    </w:p>
    <w:p w:rsidR="00C7085E" w:rsidRDefault="00C7085E" w:rsidP="00B71B1A">
      <w:pPr>
        <w:widowControl/>
        <w:numPr>
          <w:ilvl w:val="0"/>
          <w:numId w:val="8"/>
        </w:numPr>
        <w:spacing w:before="120" w:after="240" w:line="276" w:lineRule="auto"/>
        <w:ind w:right="-285"/>
      </w:pPr>
      <w:r>
        <w:t>Agua de amasado</w:t>
      </w:r>
    </w:p>
    <w:p w:rsidR="00C7085E" w:rsidRDefault="00C7085E" w:rsidP="00B71B1A">
      <w:pPr>
        <w:spacing w:before="120" w:after="240" w:line="276" w:lineRule="auto"/>
        <w:ind w:right="-285"/>
      </w:pPr>
      <w:r>
        <w:t xml:space="preserve">La toma de muestras de agua de amasado se realizará según la UNE 83951: </w:t>
      </w:r>
      <w:r>
        <w:rPr>
          <w:rFonts w:cs="Arial"/>
          <w:i/>
          <w:szCs w:val="22"/>
        </w:rPr>
        <w:t>“</w:t>
      </w:r>
      <w:r>
        <w:rPr>
          <w:rFonts w:cs="Arial"/>
          <w:bCs/>
          <w:i/>
          <w:color w:val="000000"/>
          <w:szCs w:val="22"/>
        </w:rPr>
        <w:t>Durabilidad del hormigón. Aguas de amasado y aguas agresivas. Toma de muestras”.</w:t>
      </w:r>
      <w:r>
        <w:rPr>
          <w:rFonts w:cs="Arial"/>
          <w:bCs/>
          <w:color w:val="000000"/>
          <w:szCs w:val="22"/>
        </w:rPr>
        <w:t xml:space="preserve"> </w:t>
      </w:r>
      <w:r>
        <w:rPr>
          <w:rFonts w:cs="Arial"/>
          <w:szCs w:val="22"/>
        </w:rPr>
        <w:t>Los</w:t>
      </w:r>
      <w:r>
        <w:t xml:space="preserve"> ensayos se realizarán antes de comenzar las obras, si no se tienen antecedentes del agua que se va a emplear y cuando varíen las condiciones de suministro y se harán conforme a las prescripciones de la Instrucción de Hormigón Estructural (EHE).</w:t>
      </w:r>
    </w:p>
    <w:p w:rsidR="00C7085E" w:rsidRDefault="00C7085E" w:rsidP="00B71B1A">
      <w:pPr>
        <w:spacing w:before="120" w:after="240" w:line="276" w:lineRule="auto"/>
        <w:ind w:right="-285"/>
      </w:pPr>
      <w:r>
        <w:t>Se podrá eximir de la realización de los ensayos cuando se utilice agua para consumo humano de la red de suministro.</w:t>
      </w:r>
    </w:p>
    <w:p w:rsidR="00C7085E" w:rsidRDefault="00C7085E" w:rsidP="00B71B1A">
      <w:pPr>
        <w:widowControl/>
        <w:numPr>
          <w:ilvl w:val="0"/>
          <w:numId w:val="8"/>
        </w:numPr>
        <w:spacing w:before="120" w:after="240" w:line="276" w:lineRule="auto"/>
        <w:ind w:right="-285"/>
      </w:pPr>
      <w:r>
        <w:t>Áridos</w:t>
      </w:r>
    </w:p>
    <w:p w:rsidR="00C7085E" w:rsidRDefault="00C7085E" w:rsidP="00B71B1A">
      <w:pPr>
        <w:spacing w:before="120" w:after="240" w:line="276" w:lineRule="auto"/>
        <w:ind w:right="-285"/>
      </w:pPr>
      <w:r>
        <w:t>Antes de comenzar el hormigonado, cuando varíen las condiciones de suministro, y como mínimo cada quinientos metros cúbicos (500 m</w:t>
      </w:r>
      <w:r>
        <w:rPr>
          <w:vertAlign w:val="superscript"/>
        </w:rPr>
        <w:t>3</w:t>
      </w:r>
      <w:r>
        <w:t>) de hormigón puesto en obra, deberán realizarse los siguientes ensayos: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i/>
          <w:lang w:val="es-ES_tradnl"/>
        </w:rPr>
      </w:pPr>
      <w:r>
        <w:rPr>
          <w:rFonts w:ascii="Arial" w:hAnsi="Arial" w:cs="Arial"/>
          <w:lang w:val="es-ES_tradnl"/>
        </w:rPr>
        <w:t>Granulometría de los distintos tipos de áridos utilizados en la mezcla según UNE-EN 933-1: “</w:t>
      </w:r>
      <w:r>
        <w:rPr>
          <w:rFonts w:ascii="Arial" w:hAnsi="Arial" w:cs="Arial"/>
          <w:i/>
          <w:lang w:val="es-ES_tradnl"/>
        </w:rPr>
        <w:t>Ensayos para determinar las propiedades geométricas de los áridos. Parte 1: Determinación de la granulometría de las partículas. Método del tamizado”.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Ensayos previstos en la Instrucción de Hormigón Estructural (EHE)</w:t>
      </w:r>
    </w:p>
    <w:p w:rsidR="00C7085E" w:rsidRDefault="00C7085E" w:rsidP="00B71B1A">
      <w:pPr>
        <w:widowControl/>
        <w:numPr>
          <w:ilvl w:val="0"/>
          <w:numId w:val="8"/>
        </w:numPr>
        <w:spacing w:before="120" w:after="240" w:line="276" w:lineRule="auto"/>
        <w:ind w:right="-285"/>
        <w:rPr>
          <w:lang w:val="es-ES_tradnl"/>
        </w:rPr>
      </w:pPr>
      <w:r>
        <w:t>Aceros para armaduras de hormigón armado</w:t>
      </w:r>
    </w:p>
    <w:p w:rsidR="00C7085E" w:rsidRDefault="00C7085E" w:rsidP="00B71B1A">
      <w:pPr>
        <w:spacing w:before="120" w:after="240" w:line="276" w:lineRule="auto"/>
        <w:ind w:right="-285"/>
      </w:pPr>
      <w:r>
        <w:t>Se realizarán los ensayos especificados en la Instrucción de Hormigón Estructural (EHE).</w:t>
      </w:r>
    </w:p>
    <w:p w:rsidR="00C7085E" w:rsidRDefault="00C7085E" w:rsidP="00B71B1A">
      <w:pPr>
        <w:spacing w:before="120" w:after="240" w:line="276" w:lineRule="auto"/>
        <w:ind w:right="-285"/>
      </w:pPr>
      <w:r>
        <w:t>A juicio de la Dirección de Obra, se podrán sustituir parcial o totalmente los ensayos por los correspondientes certificados presentados por el fabricante.</w:t>
      </w:r>
    </w:p>
    <w:p w:rsidR="00C7085E" w:rsidRDefault="00C7085E" w:rsidP="00B71B1A">
      <w:pPr>
        <w:spacing w:before="120" w:after="240" w:line="276" w:lineRule="auto"/>
        <w:ind w:right="-285"/>
        <w:rPr>
          <w:u w:val="single"/>
        </w:rPr>
      </w:pPr>
      <w:r>
        <w:rPr>
          <w:u w:val="single"/>
        </w:rPr>
        <w:t>Control de calidad de la ejecución</w:t>
      </w:r>
    </w:p>
    <w:p w:rsidR="00C7085E" w:rsidRDefault="00C7085E" w:rsidP="00B71B1A">
      <w:pPr>
        <w:spacing w:before="120" w:after="240" w:line="276" w:lineRule="auto"/>
        <w:ind w:right="-285"/>
      </w:pPr>
      <w:r>
        <w:t>Se atenderá a lo especificado en al artículo 86º “</w:t>
      </w:r>
      <w:r>
        <w:rPr>
          <w:i/>
        </w:rPr>
        <w:t>Control del hormigón</w:t>
      </w:r>
      <w:r>
        <w:t>”, 97º “</w:t>
      </w:r>
      <w:r>
        <w:rPr>
          <w:i/>
        </w:rPr>
        <w:t>Control de los procesos de hormigonado</w:t>
      </w:r>
      <w:r>
        <w:t>”, 98º “</w:t>
      </w:r>
      <w:r>
        <w:rPr>
          <w:i/>
        </w:rPr>
        <w:t>Control de procesos posteriores al hormigonado</w:t>
      </w:r>
      <w:r>
        <w:t>”, 100º “</w:t>
      </w:r>
      <w:r>
        <w:rPr>
          <w:i/>
        </w:rPr>
        <w:t>Control del elemento construido</w:t>
      </w:r>
      <w:r>
        <w:t>” y 101º “</w:t>
      </w:r>
      <w:r>
        <w:rPr>
          <w:i/>
        </w:rPr>
        <w:t>Controles de la estructura mediante ensayos de información complementaria</w:t>
      </w:r>
      <w:r>
        <w:t>” de la Instrucción de Hormigón Estructural (EHE).</w:t>
      </w:r>
    </w:p>
    <w:p w:rsidR="00C7085E" w:rsidRDefault="00C7085E" w:rsidP="00B71B1A">
      <w:pPr>
        <w:spacing w:before="120" w:after="240" w:line="276" w:lineRule="auto"/>
        <w:ind w:right="-285"/>
        <w:rPr>
          <w:szCs w:val="22"/>
        </w:rPr>
      </w:pPr>
      <w:r>
        <w:rPr>
          <w:szCs w:val="22"/>
        </w:rPr>
        <w:t>Los ensayos de control se realizarán sobre probetas tomadas en obra, conservadas y rotas según la norma UNE-EN 12390: “</w:t>
      </w:r>
      <w:r>
        <w:rPr>
          <w:i/>
          <w:szCs w:val="22"/>
        </w:rPr>
        <w:t>Ensayos de hormigón endurecido</w:t>
      </w:r>
      <w:r>
        <w:rPr>
          <w:szCs w:val="22"/>
        </w:rPr>
        <w:t>”, partes 1 y 3.</w:t>
      </w:r>
    </w:p>
    <w:p w:rsidR="00C7085E" w:rsidRDefault="00C7085E" w:rsidP="00B71B1A">
      <w:pPr>
        <w:spacing w:before="120" w:after="240" w:line="276" w:lineRule="auto"/>
        <w:ind w:right="-285"/>
      </w:pPr>
      <w:r>
        <w:rPr>
          <w:szCs w:val="22"/>
        </w:rPr>
        <w:t xml:space="preserve">En ambientes de hormigón IV se realizarán los obligatorios ensayos de permeabilidad del hormigón tal y como indica la </w:t>
      </w:r>
      <w:r>
        <w:t>Instrucción de Hormigón Estructural (EHE).</w:t>
      </w:r>
    </w:p>
    <w:p w:rsidR="00C7085E" w:rsidRDefault="00C7085E" w:rsidP="00B71B1A">
      <w:pPr>
        <w:spacing w:before="120" w:after="240" w:line="276" w:lineRule="auto"/>
        <w:ind w:right="-285"/>
        <w:rPr>
          <w:szCs w:val="22"/>
        </w:rPr>
      </w:pPr>
      <w:r>
        <w:rPr>
          <w:szCs w:val="22"/>
        </w:rPr>
        <w:lastRenderedPageBreak/>
        <w:t>Se realizarán un mínimo de una serie de cuatro probetas cada cincuenta metros cúbicos (50 m</w:t>
      </w:r>
      <w:r>
        <w:rPr>
          <w:szCs w:val="22"/>
          <w:vertAlign w:val="superscript"/>
        </w:rPr>
        <w:t>3</w:t>
      </w:r>
      <w:r>
        <w:rPr>
          <w:szCs w:val="22"/>
        </w:rPr>
        <w:t>) de hormigón puesto en obra para romper a 7 y 28 días y una serie de seis probetas cada quinientos metros cúbicos (500 m</w:t>
      </w:r>
      <w:r>
        <w:rPr>
          <w:szCs w:val="22"/>
          <w:vertAlign w:val="superscript"/>
        </w:rPr>
        <w:t>3</w:t>
      </w:r>
      <w:r>
        <w:rPr>
          <w:szCs w:val="22"/>
        </w:rPr>
        <w:t>) para romper a 7, 28 y 60 días, con el fin de estudiar la evolución de la resistencia obtenida.</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t>Las tolerancias admisibles en los elementos de hormigón se ajustarán a lo establecido en el Anejo nº11 de la Instrucción de Hormigón Estructural (EHE).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hormigones se medirán por metros cúbicos (m</w:t>
      </w:r>
      <w:r>
        <w:rPr>
          <w:vertAlign w:val="superscript"/>
        </w:rPr>
        <w:t>3</w:t>
      </w:r>
      <w:r>
        <w:t>) realmente ejecutados, medidos con arreglo a lo señalado en los planos del proyecto de ejecución, incluyendo el bombeo, la compactación, el vibrado, el curado y el acabado de los mismos.</w:t>
      </w:r>
    </w:p>
    <w:p w:rsidR="00C7085E" w:rsidRDefault="00C7085E" w:rsidP="00B71B1A">
      <w:pPr>
        <w:spacing w:before="120" w:after="240" w:line="276" w:lineRule="auto"/>
        <w:ind w:right="-285"/>
      </w:pPr>
      <w:r>
        <w:t>El precio al que se abonará cada hormigón será el que corresponda a su resistencia característica y ubicación, aplicando el precio que corresponda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39" w:name="_Toc414021779"/>
      <w:bookmarkStart w:id="140" w:name="_Toc448741401"/>
      <w:r>
        <w:t>Pilotes de hormigón armado moldeados “in situ”</w:t>
      </w:r>
      <w:bookmarkEnd w:id="139"/>
      <w:bookmarkEnd w:id="140"/>
    </w:p>
    <w:p w:rsidR="00C7085E" w:rsidRDefault="00C7085E" w:rsidP="00B71B1A">
      <w:pPr>
        <w:spacing w:before="120" w:after="240" w:line="276" w:lineRule="auto"/>
        <w:ind w:right="-285"/>
      </w:pPr>
      <w:r>
        <w:t>Se definen como cimentaciones por pilotes de hormigón armado moldeados “in situ” las realizadas mediante pilotes de hormigón armado, cuya ejecución se efectúa perforado previamente el terreno y rellenando la excavación con hormigón fresco y las correspondientes armaduras.</w:t>
      </w:r>
    </w:p>
    <w:p w:rsidR="00C7085E" w:rsidRDefault="00C7085E" w:rsidP="00B71B1A">
      <w:pPr>
        <w:spacing w:before="120" w:after="240" w:line="276" w:lineRule="auto"/>
        <w:ind w:right="-285"/>
      </w:pPr>
      <w:r>
        <w:t>El diseño, ejecución y control de los pilotes de hormigón armado moldeados “in situ” deberán cumplir las especificaciones establecidas en la norma UNE-EN 1536: “</w:t>
      </w:r>
      <w:r>
        <w:rPr>
          <w:i/>
        </w:rPr>
        <w:t>Ejecución de trabajos geotécnicos especiales. Pilotes perforados”</w:t>
      </w:r>
      <w:r>
        <w:t xml:space="preserve"> y en el Código Tecnológico de la Edificación DB SE-C: “Cimientos”.</w:t>
      </w:r>
    </w:p>
    <w:p w:rsidR="00C7085E" w:rsidRDefault="00C7085E" w:rsidP="00B71B1A">
      <w:pPr>
        <w:spacing w:before="120" w:after="240" w:line="276" w:lineRule="auto"/>
        <w:ind w:right="-285"/>
      </w:pPr>
      <w:r>
        <w:t xml:space="preserve">Se consideran los siguientes tipos de pilotes moldeados "in situ": </w:t>
      </w:r>
    </w:p>
    <w:p w:rsidR="00C7085E" w:rsidRDefault="00C7085E" w:rsidP="00B71B1A">
      <w:pPr>
        <w:pStyle w:val="Ttulo6"/>
        <w:numPr>
          <w:ilvl w:val="0"/>
          <w:numId w:val="0"/>
        </w:numPr>
        <w:spacing w:before="120" w:after="240" w:line="276" w:lineRule="auto"/>
        <w:ind w:left="431" w:right="-285" w:hanging="431"/>
        <w:rPr>
          <w:u w:val="single"/>
        </w:rPr>
      </w:pPr>
      <w:r>
        <w:rPr>
          <w:u w:val="single"/>
        </w:rPr>
        <w:t xml:space="preserve">Atendiendo al modo de sostener las paredes de la perforación: </w:t>
      </w:r>
    </w:p>
    <w:p w:rsidR="00C7085E" w:rsidRDefault="00C7085E" w:rsidP="00B71B1A">
      <w:pPr>
        <w:pStyle w:val="GenricoA3Enumeracin"/>
        <w:suppressAutoHyphens/>
        <w:spacing w:before="120" w:after="240" w:line="276" w:lineRule="auto"/>
        <w:ind w:right="-285"/>
        <w:jc w:val="both"/>
        <w:rPr>
          <w:b/>
        </w:rPr>
      </w:pPr>
      <w:r>
        <w:rPr>
          <w:b/>
        </w:rPr>
        <w:t xml:space="preserve">Pilotes con entubación recuperable: </w:t>
      </w:r>
      <w:r>
        <w:t>La entubación se extrae a medida que se hormigona el pilote, y es siempre de acero.</w:t>
      </w:r>
    </w:p>
    <w:p w:rsidR="00C7085E" w:rsidRDefault="00C7085E" w:rsidP="00B71B1A">
      <w:pPr>
        <w:pStyle w:val="GenricoA3Enumeracin"/>
        <w:suppressAutoHyphens/>
        <w:spacing w:before="120" w:after="240" w:line="276" w:lineRule="auto"/>
        <w:ind w:right="-285"/>
        <w:jc w:val="both"/>
      </w:pPr>
      <w:r>
        <w:rPr>
          <w:b/>
        </w:rPr>
        <w:t>Pilotes con entubación perdida</w:t>
      </w:r>
      <w:r>
        <w:t xml:space="preserve">: La entubación constituye la protección exterior o forro del pilote. </w:t>
      </w:r>
    </w:p>
    <w:p w:rsidR="00C7085E" w:rsidRDefault="00C7085E" w:rsidP="00B71B1A">
      <w:pPr>
        <w:pStyle w:val="GenricoA3Enumeracin"/>
        <w:suppressAutoHyphens/>
        <w:spacing w:before="120" w:after="240" w:line="276" w:lineRule="auto"/>
        <w:ind w:right="-285"/>
        <w:jc w:val="both"/>
      </w:pPr>
      <w:r>
        <w:rPr>
          <w:b/>
        </w:rPr>
        <w:t>Pilotes perforados con lodos bentoníticos</w:t>
      </w:r>
      <w:r>
        <w:t xml:space="preserve">: Son los pilotes en los que se utiliza, como contención de las paredes de perforación, lodo bentonítico. </w:t>
      </w:r>
    </w:p>
    <w:p w:rsidR="00C7085E" w:rsidRDefault="00C7085E" w:rsidP="00B71B1A">
      <w:pPr>
        <w:pStyle w:val="GenricoA3Enumeracin"/>
        <w:suppressAutoHyphens/>
        <w:spacing w:before="120" w:after="240" w:line="276" w:lineRule="auto"/>
        <w:ind w:right="-285"/>
        <w:jc w:val="both"/>
      </w:pPr>
      <w:r>
        <w:rPr>
          <w:b/>
        </w:rPr>
        <w:t>Pilotes perforados sin sostenimiento</w:t>
      </w:r>
      <w:r>
        <w:t>: Pilotes en los que no se utiliza ningún sistema de contención de las paredes de perforación por permitirlo el terreno, sin que se prevea presencia de agua.</w:t>
      </w:r>
    </w:p>
    <w:p w:rsidR="00C7085E" w:rsidRDefault="00C7085E" w:rsidP="00B71B1A">
      <w:pPr>
        <w:pStyle w:val="GenricoA3Enumeracin"/>
        <w:suppressAutoHyphens/>
        <w:spacing w:before="120" w:after="240" w:line="276" w:lineRule="auto"/>
        <w:ind w:right="-285"/>
        <w:jc w:val="both"/>
      </w:pPr>
      <w:r>
        <w:rPr>
          <w:b/>
        </w:rPr>
        <w:lastRenderedPageBreak/>
        <w:t>Pilotes perforados con barrena continua</w:t>
      </w:r>
      <w:r>
        <w:t xml:space="preserve">: Pilotes perforados con una hélice </w:t>
      </w:r>
      <w:proofErr w:type="gramStart"/>
      <w:r>
        <w:t>continua</w:t>
      </w:r>
      <w:proofErr w:type="gramEnd"/>
      <w:r>
        <w:t xml:space="preserve"> de fuste hueco, a través del cual se procede al hormigonado a medida que se extrae la hélice.</w:t>
      </w:r>
    </w:p>
    <w:p w:rsidR="00C7085E" w:rsidRDefault="00C7085E" w:rsidP="00B71B1A">
      <w:pPr>
        <w:pStyle w:val="Ttulo6"/>
        <w:keepNext/>
        <w:keepLines/>
        <w:numPr>
          <w:ilvl w:val="0"/>
          <w:numId w:val="0"/>
        </w:numPr>
        <w:spacing w:before="120" w:after="240" w:line="276" w:lineRule="auto"/>
        <w:ind w:left="431" w:right="-285" w:hanging="431"/>
        <w:rPr>
          <w:u w:val="single"/>
        </w:rPr>
      </w:pPr>
      <w:r>
        <w:rPr>
          <w:u w:val="single"/>
        </w:rPr>
        <w:t xml:space="preserve">Atendiendo a la forma de introducir la entubación en el terreno: </w:t>
      </w:r>
    </w:p>
    <w:p w:rsidR="00C7085E" w:rsidRDefault="00C7085E" w:rsidP="00B71B1A">
      <w:pPr>
        <w:pStyle w:val="GenricoA3Enumeracin"/>
        <w:keepNext/>
        <w:keepLines/>
        <w:suppressAutoHyphens/>
        <w:spacing w:before="120" w:after="240" w:line="276" w:lineRule="auto"/>
        <w:ind w:right="-285"/>
        <w:jc w:val="both"/>
      </w:pPr>
      <w:r>
        <w:rPr>
          <w:b/>
        </w:rPr>
        <w:t>Pilotes de desplazamiento</w:t>
      </w:r>
      <w:r>
        <w:t>: La entubación se hinca con azuche inferior desplazando el terreno por percusión.</w:t>
      </w:r>
    </w:p>
    <w:p w:rsidR="00C7085E" w:rsidRDefault="00C7085E" w:rsidP="00B71B1A">
      <w:pPr>
        <w:pStyle w:val="GenricoA3Enumeracin"/>
        <w:suppressAutoHyphens/>
        <w:spacing w:before="120" w:after="240" w:line="276" w:lineRule="auto"/>
        <w:ind w:right="-285"/>
        <w:jc w:val="both"/>
      </w:pPr>
      <w:r>
        <w:rPr>
          <w:b/>
        </w:rPr>
        <w:t>Pilotes sondeados</w:t>
      </w:r>
      <w:r>
        <w:t>: La entubación se introduce en el terreno, extrayendo al mismo tiempo los productos de su interior mediante cuchara, sonda o cualquier otro artificio.</w:t>
      </w:r>
    </w:p>
    <w:p w:rsidR="00C7085E" w:rsidRDefault="00C7085E" w:rsidP="00B71B1A">
      <w:pPr>
        <w:pStyle w:val="Ttulo6"/>
        <w:numPr>
          <w:ilvl w:val="0"/>
          <w:numId w:val="0"/>
        </w:numPr>
        <w:spacing w:before="120" w:after="240" w:line="276" w:lineRule="auto"/>
        <w:ind w:left="431" w:right="-285" w:hanging="431"/>
        <w:rPr>
          <w:u w:val="single"/>
        </w:rPr>
      </w:pPr>
      <w:r>
        <w:rPr>
          <w:u w:val="single"/>
        </w:rPr>
        <w:t xml:space="preserve">Atendiendo a la forma de la entubación: </w:t>
      </w:r>
    </w:p>
    <w:p w:rsidR="00C7085E" w:rsidRDefault="00C7085E" w:rsidP="00B71B1A">
      <w:pPr>
        <w:pStyle w:val="GenricoA3Enumeracin"/>
        <w:suppressAutoHyphens/>
        <w:spacing w:before="120" w:after="240" w:line="276" w:lineRule="auto"/>
        <w:ind w:right="-285"/>
        <w:jc w:val="both"/>
        <w:rPr>
          <w:b/>
        </w:rPr>
      </w:pPr>
      <w:r>
        <w:rPr>
          <w:b/>
        </w:rPr>
        <w:t xml:space="preserve">Pilotes de entubación abierta: </w:t>
      </w:r>
      <w:r>
        <w:t>La entubación no tiene fondo, y puede ser introducida en el terreno por hinca o medios mecánicos alternativos.</w:t>
      </w:r>
    </w:p>
    <w:p w:rsidR="00C7085E" w:rsidRDefault="00C7085E" w:rsidP="00B71B1A">
      <w:pPr>
        <w:pStyle w:val="GenricoA3Enumeracin"/>
        <w:suppressAutoHyphens/>
        <w:spacing w:before="120" w:after="240" w:line="276" w:lineRule="auto"/>
        <w:ind w:right="-285"/>
        <w:jc w:val="both"/>
      </w:pPr>
      <w:r>
        <w:rPr>
          <w:b/>
        </w:rPr>
        <w:t>Pilotes de entubación cerrada</w:t>
      </w:r>
      <w:r>
        <w:t xml:space="preserve">: La entubación tiene fondo, constituyendo una caja prácticamente impermeable que aísla al pilote del terreno. En este caso los pilotes son, necesariamente de entubación perdida y de desplazamiento. </w:t>
      </w:r>
    </w:p>
    <w:p w:rsidR="00C7085E" w:rsidRDefault="00C7085E" w:rsidP="00B71B1A">
      <w:pPr>
        <w:pStyle w:val="GenricoA3Enumeracin"/>
        <w:suppressAutoHyphens/>
        <w:spacing w:before="120" w:after="240" w:line="276" w:lineRule="auto"/>
        <w:ind w:right="-285"/>
        <w:jc w:val="both"/>
      </w:pPr>
      <w:r>
        <w:rPr>
          <w:b/>
        </w:rPr>
        <w:t>Pilotes de entubación taponada</w:t>
      </w:r>
      <w:r>
        <w:t>: La entubación es abierta, pero se hinca con tapón de grava y hormigón, o bien con azuche perdido. Durante la hinca la entubación se comporta como cerrada, pero luego suele recuperarse, funcionando como una entubación abierta.</w:t>
      </w:r>
    </w:p>
    <w:p w:rsidR="00C7085E" w:rsidRDefault="00C7085E" w:rsidP="00B71B1A">
      <w:pPr>
        <w:spacing w:before="120" w:after="240" w:line="276" w:lineRule="auto"/>
        <w:ind w:right="-285"/>
      </w:pPr>
      <w:r>
        <w:t xml:space="preserve">No deberán ejecutarse pilotes con barrena continua, salvo indicación expresa del Proyecto o de la Dirección de Obra, cuando: </w:t>
      </w:r>
    </w:p>
    <w:p w:rsidR="00C7085E" w:rsidRDefault="00C7085E" w:rsidP="00B71B1A">
      <w:pPr>
        <w:pStyle w:val="GenricoA3Enumeracin"/>
        <w:suppressAutoHyphens/>
        <w:spacing w:before="120" w:after="240" w:line="276" w:lineRule="auto"/>
        <w:ind w:right="-285"/>
        <w:jc w:val="both"/>
      </w:pPr>
      <w:r>
        <w:t xml:space="preserve">La inclinación de los pilotes sea mayor de seis grados sexagesimales (6º), salvo que se tomen medidas para controlar la dirección de la perforación y la colocación de la armadura. </w:t>
      </w:r>
    </w:p>
    <w:p w:rsidR="00C7085E" w:rsidRDefault="00C7085E" w:rsidP="00B71B1A">
      <w:pPr>
        <w:pStyle w:val="GenricoA3Enumeracin"/>
        <w:suppressAutoHyphens/>
        <w:spacing w:before="120" w:after="240" w:line="276" w:lineRule="auto"/>
        <w:ind w:right="-285"/>
        <w:jc w:val="both"/>
      </w:pPr>
      <w:r>
        <w:t>Existan capas de terreno inestable con un espesor mayor que tres (3) veces el diámetro del pilote, salvo que pueda demostrarse, mediante pilotes de prueba, que la ejecución es satisfactoria.</w:t>
      </w:r>
    </w:p>
    <w:p w:rsidR="00C7085E" w:rsidRDefault="00C7085E" w:rsidP="00B71B1A">
      <w:pPr>
        <w:keepNext/>
        <w:keepLines/>
        <w:spacing w:before="120" w:after="240" w:line="276" w:lineRule="auto"/>
        <w:ind w:right="-285"/>
      </w:pPr>
      <w:r>
        <w:t>A efectos de este artículo se consideran terrenos inestables los siguientes:</w:t>
      </w:r>
    </w:p>
    <w:p w:rsidR="00C7085E" w:rsidRDefault="00C7085E" w:rsidP="00B71B1A">
      <w:pPr>
        <w:pStyle w:val="GenricoA3Enumeracin"/>
        <w:keepNext/>
        <w:keepLines/>
        <w:suppressAutoHyphens/>
        <w:spacing w:before="120" w:after="240" w:line="276" w:lineRule="auto"/>
        <w:ind w:right="-285"/>
        <w:jc w:val="both"/>
      </w:pPr>
      <w:r>
        <w:t>Suelos uniformes no cohesivos con coeficiente de uniformidad –relación de diámetros correspondientes al setenta y diez por ciento (60% y 10%), en peso –inferior a dos (d</w:t>
      </w:r>
      <w:r>
        <w:rPr>
          <w:vertAlign w:val="subscript"/>
        </w:rPr>
        <w:t>60</w:t>
      </w:r>
      <w:r>
        <w:t>/d</w:t>
      </w:r>
      <w:r>
        <w:rPr>
          <w:vertAlign w:val="subscript"/>
        </w:rPr>
        <w:t>10</w:t>
      </w:r>
      <w:r>
        <w:t>&lt;2) por debajo por nivel de agua.</w:t>
      </w:r>
    </w:p>
    <w:p w:rsidR="00C7085E" w:rsidRDefault="00C7085E" w:rsidP="00B71B1A">
      <w:pPr>
        <w:pStyle w:val="GenricoA3Enumeracin"/>
        <w:suppressAutoHyphens/>
        <w:spacing w:before="120" w:after="240" w:line="276" w:lineRule="auto"/>
        <w:ind w:right="-285"/>
        <w:jc w:val="both"/>
      </w:pPr>
      <w:r>
        <w:t>Suelos flojos no cohesivos con índice de densidad inferior a cero con treinta y cinco (0,35).</w:t>
      </w:r>
    </w:p>
    <w:p w:rsidR="00C7085E" w:rsidRDefault="00C7085E" w:rsidP="00B71B1A">
      <w:pPr>
        <w:pStyle w:val="GenricoA3Enumeracin"/>
        <w:suppressAutoHyphens/>
        <w:spacing w:before="120" w:after="240" w:line="276" w:lineRule="auto"/>
        <w:ind w:right="-285"/>
        <w:jc w:val="both"/>
      </w:pPr>
      <w:r>
        <w:t>Suelos blandos con resistencia al corte no drenada inferior a quince kilopascales (T</w:t>
      </w:r>
      <w:r>
        <w:rPr>
          <w:vertAlign w:val="subscript"/>
        </w:rPr>
        <w:t>fu</w:t>
      </w:r>
      <w:r>
        <w:t xml:space="preserve"> &lt; 15 kPa).</w:t>
      </w:r>
    </w:p>
    <w:p w:rsidR="00C7085E" w:rsidRDefault="00C7085E" w:rsidP="00B71B1A">
      <w:pPr>
        <w:spacing w:before="120" w:after="240" w:line="276" w:lineRule="auto"/>
        <w:ind w:right="-285"/>
      </w:pPr>
      <w:r>
        <w:lastRenderedPageBreak/>
        <w:t>Se entiende como diámetro nominal, de un pilote de sección circular, de diámetro medio de la perforación realizada en la zona superior del pilote. Se considera como zona superior del pilote la que va desde su extremo superior hasta tres (3) diámetro por debajo del mismo.</w:t>
      </w:r>
    </w:p>
    <w:p w:rsidR="009A5015"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El hormigón para pilotes hormigonados “in situ” cumplirá las prescripciones de la Instrucción de Hormigón (EHE), con las siguientes características particulares:</w:t>
      </w:r>
    </w:p>
    <w:p w:rsidR="00C7085E" w:rsidRDefault="00C7085E" w:rsidP="00B71B1A">
      <w:pPr>
        <w:keepNext/>
        <w:keepLines/>
        <w:widowControl/>
        <w:numPr>
          <w:ilvl w:val="0"/>
          <w:numId w:val="15"/>
        </w:numPr>
        <w:suppressAutoHyphens/>
        <w:spacing w:before="120" w:after="240" w:line="276" w:lineRule="auto"/>
        <w:ind w:left="714" w:right="-285" w:hanging="357"/>
      </w:pPr>
      <w:r>
        <w:t>El tamaño máximo de los áridos no deberá sobrepasar el menor de los dos valores siguientes: treinta y dos milímetros (32 mm) o un cuarto (1/4) del espaciamiento entre las barras de armado longitudinales.</w:t>
      </w:r>
    </w:p>
    <w:p w:rsidR="00C7085E" w:rsidRDefault="00C7085E" w:rsidP="00B71B1A">
      <w:pPr>
        <w:widowControl/>
        <w:numPr>
          <w:ilvl w:val="0"/>
          <w:numId w:val="15"/>
        </w:numPr>
        <w:suppressAutoHyphens/>
        <w:spacing w:before="120" w:after="240" w:line="276" w:lineRule="auto"/>
        <w:ind w:left="714" w:right="-285" w:hanging="357"/>
      </w:pPr>
      <w:r>
        <w:t>El contenido mínimo de cemento y finos para el hormigón se indica en la tabla adjunta:</w:t>
      </w:r>
    </w:p>
    <w:tbl>
      <w:tblPr>
        <w:tblStyle w:val="Tablaconcuadrcula"/>
        <w:tblW w:w="0" w:type="auto"/>
        <w:jc w:val="center"/>
        <w:tblLook w:val="04A0" w:firstRow="1" w:lastRow="0" w:firstColumn="1" w:lastColumn="0" w:noHBand="0" w:noVBand="1"/>
      </w:tblPr>
      <w:tblGrid>
        <w:gridCol w:w="5244"/>
        <w:gridCol w:w="1841"/>
      </w:tblGrid>
      <w:tr w:rsidR="00C7085E" w:rsidTr="00C7085E">
        <w:trPr>
          <w:trHeight w:val="255"/>
          <w:jc w:val="center"/>
        </w:trPr>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b/>
              </w:rPr>
            </w:pPr>
            <w:r>
              <w:rPr>
                <w:b/>
              </w:rPr>
              <w:t>Contenido de cemento</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b/>
              </w:rPr>
            </w:pPr>
            <w:r>
              <w:rPr>
                <w:b/>
              </w:rPr>
              <w:t>(kg/m</w:t>
            </w:r>
            <w:r>
              <w:rPr>
                <w:b/>
                <w:vertAlign w:val="superscript"/>
              </w:rPr>
              <w:t>3</w:t>
            </w:r>
            <w:r>
              <w:rPr>
                <w:b/>
              </w:rPr>
              <w:t>)</w:t>
            </w:r>
          </w:p>
        </w:tc>
      </w:tr>
      <w:tr w:rsidR="00C7085E" w:rsidTr="00C7085E">
        <w:trPr>
          <w:trHeight w:val="255"/>
          <w:jc w:val="center"/>
        </w:trPr>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pPr>
            <w:r>
              <w:t>Hormigonado en condiciones secas</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left"/>
              <w:rPr>
                <w:szCs w:val="20"/>
              </w:rPr>
            </w:pPr>
            <w:r>
              <w:rPr>
                <w:rFonts w:cs="Arial"/>
                <w:szCs w:val="20"/>
              </w:rPr>
              <w:t>≥</w:t>
            </w:r>
            <w:r>
              <w:rPr>
                <w:szCs w:val="20"/>
              </w:rPr>
              <w:t>325</w:t>
            </w:r>
          </w:p>
        </w:tc>
      </w:tr>
      <w:tr w:rsidR="00C7085E" w:rsidTr="00C7085E">
        <w:trPr>
          <w:trHeight w:val="255"/>
          <w:jc w:val="center"/>
        </w:trPr>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szCs w:val="20"/>
              </w:rPr>
            </w:pPr>
            <w:r>
              <w:t>Hormigonado en condiciones sumergidas</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left"/>
              <w:rPr>
                <w:szCs w:val="20"/>
              </w:rPr>
            </w:pPr>
            <w:r>
              <w:rPr>
                <w:rFonts w:cs="Arial"/>
                <w:szCs w:val="20"/>
              </w:rPr>
              <w:t>≥</w:t>
            </w:r>
            <w:r>
              <w:rPr>
                <w:szCs w:val="20"/>
              </w:rPr>
              <w:t>375</w:t>
            </w:r>
          </w:p>
        </w:tc>
      </w:tr>
      <w:tr w:rsidR="00C7085E" w:rsidTr="00C7085E">
        <w:trPr>
          <w:trHeight w:val="255"/>
          <w:jc w:val="center"/>
        </w:trPr>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b/>
              </w:rPr>
            </w:pPr>
            <w:r>
              <w:rPr>
                <w:b/>
              </w:rPr>
              <w:t xml:space="preserve">Contenido de finos </w:t>
            </w:r>
            <w:r>
              <w:rPr>
                <w:b/>
                <w:vertAlign w:val="superscript"/>
              </w:rPr>
              <w:t>a</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spacing w:before="120" w:after="240" w:line="276" w:lineRule="auto"/>
              <w:ind w:right="-285"/>
              <w:jc w:val="left"/>
              <w:rPr>
                <w:b/>
              </w:rPr>
            </w:pPr>
          </w:p>
        </w:tc>
      </w:tr>
      <w:tr w:rsidR="00C7085E" w:rsidTr="00C7085E">
        <w:trPr>
          <w:trHeight w:val="255"/>
          <w:jc w:val="center"/>
        </w:trPr>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pPr>
            <w:r>
              <w:t>Árido grueso d &gt; 8 mm</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pPr>
            <w:r>
              <w:t>≥400</w:t>
            </w:r>
          </w:p>
        </w:tc>
      </w:tr>
      <w:tr w:rsidR="00C7085E" w:rsidTr="00C7085E">
        <w:trPr>
          <w:trHeight w:val="255"/>
          <w:jc w:val="center"/>
        </w:trPr>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pPr>
            <w:r>
              <w:t>Árido grueso d ≤ 8 mm</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pPr>
            <w:r>
              <w:t>≥450</w:t>
            </w:r>
          </w:p>
        </w:tc>
      </w:tr>
      <w:tr w:rsidR="00C7085E" w:rsidTr="00C7085E">
        <w:trPr>
          <w:trHeight w:val="255"/>
          <w:jc w:val="center"/>
        </w:trPr>
        <w:tc>
          <w:tcPr>
            <w:tcW w:w="7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rFonts w:cs="Arial"/>
                <w:sz w:val="16"/>
                <w:szCs w:val="16"/>
              </w:rPr>
            </w:pPr>
            <w:r>
              <w:rPr>
                <w:sz w:val="16"/>
                <w:szCs w:val="16"/>
                <w:vertAlign w:val="superscript"/>
              </w:rPr>
              <w:t>a</w:t>
            </w:r>
            <w:r>
              <w:rPr>
                <w:sz w:val="16"/>
                <w:szCs w:val="16"/>
              </w:rPr>
              <w:t xml:space="preserve"> Finos d&lt;0,125 mm (incluyendo adiciones y cemento)</w:t>
            </w:r>
          </w:p>
        </w:tc>
      </w:tr>
    </w:tbl>
    <w:p w:rsidR="00C7085E" w:rsidRDefault="00C7085E" w:rsidP="00B71B1A">
      <w:pPr>
        <w:pStyle w:val="Tabla"/>
        <w:spacing w:before="120" w:line="276" w:lineRule="auto"/>
        <w:ind w:right="-285"/>
      </w:pPr>
      <w:r>
        <w:t>Contenido mínimo de cemento y finos en el hormigón</w:t>
      </w:r>
    </w:p>
    <w:p w:rsidR="00C7085E" w:rsidRDefault="00C7085E" w:rsidP="00B71B1A">
      <w:pPr>
        <w:widowControl/>
        <w:numPr>
          <w:ilvl w:val="0"/>
          <w:numId w:val="15"/>
        </w:numPr>
        <w:suppressAutoHyphens/>
        <w:spacing w:before="120" w:after="240" w:line="276" w:lineRule="auto"/>
        <w:ind w:left="714" w:right="-285" w:hanging="357"/>
      </w:pPr>
      <w:r>
        <w:t>No se usará en ningún caso cemento de aluminato cálcico.</w:t>
      </w:r>
    </w:p>
    <w:p w:rsidR="00C7085E" w:rsidRDefault="00C7085E" w:rsidP="00B71B1A">
      <w:pPr>
        <w:widowControl/>
        <w:numPr>
          <w:ilvl w:val="0"/>
          <w:numId w:val="15"/>
        </w:numPr>
        <w:suppressAutoHyphens/>
        <w:spacing w:before="120" w:after="240" w:line="276" w:lineRule="auto"/>
        <w:ind w:left="714" w:right="-285" w:hanging="357"/>
      </w:pPr>
      <w:r>
        <w:t xml:space="preserve">A fin de evitar que se produzca segregación, la granulometría de los áridos debe ser continua con el adecuado contenido de finos. Son preferibles los áridos redondeados. </w:t>
      </w:r>
    </w:p>
    <w:p w:rsidR="009A5015" w:rsidRDefault="00C7085E" w:rsidP="00B71B1A">
      <w:pPr>
        <w:widowControl/>
        <w:numPr>
          <w:ilvl w:val="0"/>
          <w:numId w:val="15"/>
        </w:numPr>
        <w:suppressAutoHyphens/>
        <w:spacing w:before="120" w:after="240" w:line="276" w:lineRule="auto"/>
        <w:ind w:left="714" w:right="-285" w:hanging="357"/>
      </w:pPr>
      <w:r>
        <w:t>La relación agua/cemento no debe ser superior a 0,60.</w:t>
      </w:r>
    </w:p>
    <w:p w:rsidR="00C7085E" w:rsidRDefault="00C7085E" w:rsidP="00B71B1A">
      <w:pPr>
        <w:widowControl/>
        <w:numPr>
          <w:ilvl w:val="0"/>
          <w:numId w:val="15"/>
        </w:numPr>
        <w:suppressAutoHyphens/>
        <w:spacing w:before="120" w:after="240" w:line="276" w:lineRule="auto"/>
        <w:ind w:left="714" w:right="-285" w:hanging="357"/>
      </w:pPr>
      <w:r>
        <w:t>Los valores de consistencia para el hormigón fresco antes de su puesta en uso deberán cumplir, de acuerdo con la UNE-EN 1536</w:t>
      </w:r>
    </w:p>
    <w:tbl>
      <w:tblPr>
        <w:tblStyle w:val="Tablaconcuadrcula"/>
        <w:tblW w:w="9057" w:type="dxa"/>
        <w:jc w:val="center"/>
        <w:tblLook w:val="04A0" w:firstRow="1" w:lastRow="0" w:firstColumn="1" w:lastColumn="0" w:noHBand="0" w:noVBand="1"/>
      </w:tblPr>
      <w:tblGrid>
        <w:gridCol w:w="4672"/>
        <w:gridCol w:w="2117"/>
        <w:gridCol w:w="2268"/>
      </w:tblGrid>
      <w:tr w:rsidR="00C7085E" w:rsidTr="00C7085E">
        <w:trPr>
          <w:trHeight w:val="367"/>
          <w:jc w:val="center"/>
        </w:trPr>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lastRenderedPageBreak/>
              <w:t>:</w:t>
            </w:r>
            <w:r>
              <w:rPr>
                <w:b/>
              </w:rPr>
              <w:t>Condiciones de uso típicas</w:t>
            </w:r>
          </w:p>
        </w:tc>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Diámetro de flujo</w:t>
            </w:r>
          </w:p>
          <w:p w:rsidR="00C7085E" w:rsidRDefault="00C7085E" w:rsidP="00B71B1A">
            <w:pPr>
              <w:keepNext/>
              <w:keepLines/>
              <w:spacing w:before="120" w:after="240" w:line="276" w:lineRule="auto"/>
              <w:ind w:right="-285"/>
              <w:jc w:val="center"/>
              <w:rPr>
                <w:b/>
              </w:rPr>
            </w:pPr>
            <w:r>
              <w:rPr>
                <w:rFonts w:ascii="Symbol" w:hAnsi="Symbol"/>
                <w:b/>
              </w:rPr>
              <w:t></w:t>
            </w:r>
            <w:r>
              <w:rPr>
                <w:rFonts w:ascii="Symbol" w:hAnsi="Symbol"/>
                <w:b/>
              </w:rPr>
              <w:t></w:t>
            </w:r>
            <w:r>
              <w:rPr>
                <w:b/>
              </w:rPr>
              <w:t>(mm)</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Cono de Abrams</w:t>
            </w:r>
          </w:p>
          <w:p w:rsidR="00C7085E" w:rsidRDefault="00C7085E" w:rsidP="00B71B1A">
            <w:pPr>
              <w:keepNext/>
              <w:keepLines/>
              <w:spacing w:before="120" w:after="240" w:line="276" w:lineRule="auto"/>
              <w:ind w:right="-285"/>
              <w:jc w:val="center"/>
              <w:rPr>
                <w:b/>
              </w:rPr>
            </w:pPr>
            <w:r>
              <w:rPr>
                <w:b/>
              </w:rPr>
              <w:t>H (mm)</w:t>
            </w:r>
          </w:p>
        </w:tc>
      </w:tr>
      <w:tr w:rsidR="00C7085E" w:rsidTr="00C7085E">
        <w:trPr>
          <w:jc w:val="center"/>
        </w:trPr>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Hormigonado en condiciones secas</w:t>
            </w:r>
          </w:p>
        </w:tc>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500</w:t>
            </w:r>
            <w:r>
              <w:rPr>
                <w:rFonts w:cs="Arial"/>
              </w:rPr>
              <w:t>±</w:t>
            </w:r>
            <w:r>
              <w:t>30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rFonts w:cs="Arial"/>
              </w:rPr>
            </w:pPr>
            <w:r>
              <w:t>150</w:t>
            </w:r>
            <w:r>
              <w:rPr>
                <w:rFonts w:cs="Arial"/>
              </w:rPr>
              <w:t>±</w:t>
            </w:r>
            <w:r>
              <w:t>30</w:t>
            </w:r>
          </w:p>
        </w:tc>
      </w:tr>
      <w:tr w:rsidR="00C7085E" w:rsidTr="00C7085E">
        <w:trPr>
          <w:jc w:val="center"/>
        </w:trPr>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 xml:space="preserve">Hormigonado bombeado u hormigonado con tubería </w:t>
            </w:r>
            <w:r>
              <w:rPr>
                <w:i/>
              </w:rPr>
              <w:t>tremie</w:t>
            </w:r>
            <w:r>
              <w:t xml:space="preserve"> en condiciones sumergidas</w:t>
            </w:r>
          </w:p>
        </w:tc>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560</w:t>
            </w:r>
            <w:r>
              <w:rPr>
                <w:rFonts w:cs="Arial"/>
              </w:rPr>
              <w:t>±</w:t>
            </w:r>
            <w:r>
              <w:t>30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rFonts w:cs="Arial"/>
              </w:rPr>
            </w:pPr>
            <w:r>
              <w:t>180</w:t>
            </w:r>
            <w:r>
              <w:rPr>
                <w:rFonts w:cs="Arial"/>
              </w:rPr>
              <w:t>±</w:t>
            </w:r>
            <w:r>
              <w:t>30</w:t>
            </w:r>
          </w:p>
        </w:tc>
      </w:tr>
      <w:tr w:rsidR="00C7085E" w:rsidTr="00C7085E">
        <w:trPr>
          <w:jc w:val="center"/>
        </w:trPr>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 xml:space="preserve">Hormigonado con tubería </w:t>
            </w:r>
            <w:r>
              <w:rPr>
                <w:i/>
              </w:rPr>
              <w:t>tremie</w:t>
            </w:r>
            <w:r>
              <w:t xml:space="preserve"> en condiciones sumergidas y con ayuda de fluido de sostenimiento</w:t>
            </w:r>
          </w:p>
        </w:tc>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600</w:t>
            </w:r>
            <w:r>
              <w:rPr>
                <w:rFonts w:cs="Arial"/>
              </w:rPr>
              <w:t>±</w:t>
            </w:r>
            <w:r>
              <w:t>30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rFonts w:cs="Arial"/>
              </w:rPr>
            </w:pPr>
            <w:r>
              <w:t>200</w:t>
            </w:r>
            <w:r>
              <w:rPr>
                <w:rFonts w:cs="Arial"/>
              </w:rPr>
              <w:t>±</w:t>
            </w:r>
            <w:r>
              <w:t>30</w:t>
            </w:r>
          </w:p>
        </w:tc>
      </w:tr>
    </w:tbl>
    <w:p w:rsidR="00C7085E" w:rsidRDefault="00C7085E" w:rsidP="00B71B1A">
      <w:pPr>
        <w:pStyle w:val="Tabla"/>
        <w:keepNext/>
        <w:keepLines/>
        <w:spacing w:before="120" w:line="276" w:lineRule="auto"/>
        <w:ind w:right="-285"/>
      </w:pPr>
      <w:r>
        <w:t>Consistencia y tolerancias del hormigón fresco en diferentes condiciones</w:t>
      </w:r>
    </w:p>
    <w:p w:rsidR="00C7085E" w:rsidRDefault="00C7085E" w:rsidP="00B71B1A">
      <w:pPr>
        <w:spacing w:before="120" w:after="240" w:line="276" w:lineRule="auto"/>
        <w:ind w:right="-285"/>
      </w:pPr>
      <w:r>
        <w:t>Para las armaduras se estará sujeto a lo dispuesto en la Instrucción de Hormigón Estructural (EHE).</w:t>
      </w:r>
    </w:p>
    <w:p w:rsidR="00C7085E" w:rsidRDefault="00C7085E" w:rsidP="00B71B1A">
      <w:pPr>
        <w:spacing w:before="120" w:after="240" w:line="276" w:lineRule="auto"/>
        <w:ind w:right="-285"/>
      </w:pPr>
      <w:r>
        <w:t>Las armaduras verticales deberán tener un diámetro igual o superior a doce milímetros (12 mm).</w:t>
      </w:r>
    </w:p>
    <w:p w:rsidR="00C7085E" w:rsidRDefault="00C7085E" w:rsidP="00B71B1A">
      <w:pPr>
        <w:keepNext/>
        <w:keepLines/>
        <w:spacing w:before="120" w:after="240" w:line="276" w:lineRule="auto"/>
        <w:ind w:right="-285"/>
      </w:pPr>
      <w:r>
        <w:t>La armadura longitudinal mínima será de cuatro (4) barras de doce milímetros (12 mm) de diámetro y en todo caso, la cuantía mínima de armadura longitudinal en relación con la sección transversal del pilote será:</w:t>
      </w:r>
    </w:p>
    <w:tbl>
      <w:tblPr>
        <w:tblStyle w:val="Tablaconcuadrcula"/>
        <w:tblW w:w="0" w:type="auto"/>
        <w:jc w:val="center"/>
        <w:tblLook w:val="04A0" w:firstRow="1" w:lastRow="0" w:firstColumn="1" w:lastColumn="0" w:noHBand="0" w:noVBand="1"/>
      </w:tblPr>
      <w:tblGrid>
        <w:gridCol w:w="3448"/>
        <w:gridCol w:w="3728"/>
      </w:tblGrid>
      <w:tr w:rsidR="00C7085E" w:rsidTr="00C7085E">
        <w:trPr>
          <w:trHeight w:val="367"/>
          <w:jc w:val="center"/>
        </w:trPr>
        <w:tc>
          <w:tcPr>
            <w:tcW w:w="34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rPr>
                <w:b/>
              </w:rPr>
            </w:pPr>
            <w:r>
              <w:rPr>
                <w:b/>
              </w:rPr>
              <w:t>Sección transversal del pilote A</w:t>
            </w:r>
            <w:r>
              <w:rPr>
                <w:b/>
                <w:vertAlign w:val="subscript"/>
              </w:rPr>
              <w:t>c</w:t>
            </w:r>
          </w:p>
        </w:tc>
        <w:tc>
          <w:tcPr>
            <w:tcW w:w="3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rPr>
                <w:b/>
              </w:rPr>
            </w:pPr>
            <w:r>
              <w:rPr>
                <w:b/>
              </w:rPr>
              <w:t>Área de la armadura longitudinal A</w:t>
            </w:r>
            <w:r>
              <w:rPr>
                <w:b/>
                <w:vertAlign w:val="subscript"/>
              </w:rPr>
              <w:t>s</w:t>
            </w:r>
          </w:p>
        </w:tc>
      </w:tr>
      <w:tr w:rsidR="00C7085E" w:rsidTr="00C7085E">
        <w:trPr>
          <w:jc w:val="center"/>
        </w:trPr>
        <w:tc>
          <w:tcPr>
            <w:tcW w:w="34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A</w:t>
            </w:r>
            <w:r>
              <w:rPr>
                <w:vertAlign w:val="subscript"/>
              </w:rPr>
              <w:t>c</w:t>
            </w:r>
            <w:r>
              <w:t xml:space="preserve"> ≤ 0,50 m</w:t>
            </w:r>
            <w:r>
              <w:rPr>
                <w:vertAlign w:val="superscript"/>
              </w:rPr>
              <w:t>2</w:t>
            </w:r>
          </w:p>
        </w:tc>
        <w:tc>
          <w:tcPr>
            <w:tcW w:w="3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A</w:t>
            </w:r>
            <w:r>
              <w:rPr>
                <w:vertAlign w:val="subscript"/>
              </w:rPr>
              <w:t>s</w:t>
            </w:r>
            <w:r>
              <w:t xml:space="preserve"> ≥ 0,5% A</w:t>
            </w:r>
            <w:r>
              <w:rPr>
                <w:vertAlign w:val="subscript"/>
              </w:rPr>
              <w:t>c</w:t>
            </w:r>
          </w:p>
        </w:tc>
      </w:tr>
      <w:tr w:rsidR="00C7085E" w:rsidTr="00C7085E">
        <w:trPr>
          <w:jc w:val="center"/>
        </w:trPr>
        <w:tc>
          <w:tcPr>
            <w:tcW w:w="34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pPr>
            <w:r>
              <w:t>0,50 m</w:t>
            </w:r>
            <w:r>
              <w:rPr>
                <w:vertAlign w:val="superscript"/>
              </w:rPr>
              <w:t>2</w:t>
            </w:r>
            <w:r>
              <w:t xml:space="preserve"> &lt; A</w:t>
            </w:r>
            <w:r>
              <w:rPr>
                <w:vertAlign w:val="subscript"/>
              </w:rPr>
              <w:t>c</w:t>
            </w:r>
            <w:r>
              <w:t xml:space="preserve"> ≤ 1,00 m</w:t>
            </w:r>
            <w:r>
              <w:rPr>
                <w:vertAlign w:val="superscript"/>
              </w:rPr>
              <w:t>2</w:t>
            </w:r>
          </w:p>
        </w:tc>
        <w:tc>
          <w:tcPr>
            <w:tcW w:w="3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pPr>
            <w:r>
              <w:t>A</w:t>
            </w:r>
            <w:r>
              <w:rPr>
                <w:vertAlign w:val="subscript"/>
              </w:rPr>
              <w:t>s</w:t>
            </w:r>
            <w:r>
              <w:t xml:space="preserve"> ≥ 0,0025 m</w:t>
            </w:r>
            <w:r>
              <w:rPr>
                <w:vertAlign w:val="superscript"/>
              </w:rPr>
              <w:t>2</w:t>
            </w:r>
          </w:p>
        </w:tc>
      </w:tr>
      <w:tr w:rsidR="00C7085E" w:rsidTr="00C7085E">
        <w:trPr>
          <w:trHeight w:val="70"/>
          <w:jc w:val="center"/>
        </w:trPr>
        <w:tc>
          <w:tcPr>
            <w:tcW w:w="34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pPr>
            <w:r>
              <w:t>A</w:t>
            </w:r>
            <w:r>
              <w:rPr>
                <w:vertAlign w:val="subscript"/>
              </w:rPr>
              <w:t>c</w:t>
            </w:r>
            <w:r>
              <w:t xml:space="preserve"> &gt; 1,00 m</w:t>
            </w:r>
            <w:r>
              <w:rPr>
                <w:vertAlign w:val="superscript"/>
              </w:rPr>
              <w:t>2</w:t>
            </w:r>
          </w:p>
        </w:tc>
        <w:tc>
          <w:tcPr>
            <w:tcW w:w="3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pPr>
            <w:r>
              <w:t>A</w:t>
            </w:r>
            <w:r>
              <w:rPr>
                <w:vertAlign w:val="subscript"/>
              </w:rPr>
              <w:t>s</w:t>
            </w:r>
            <w:r>
              <w:t xml:space="preserve"> ≥ 0,25% A</w:t>
            </w:r>
            <w:r>
              <w:rPr>
                <w:vertAlign w:val="subscript"/>
              </w:rPr>
              <w:t>c</w:t>
            </w:r>
          </w:p>
        </w:tc>
      </w:tr>
    </w:tbl>
    <w:p w:rsidR="00C7085E" w:rsidRDefault="00C7085E" w:rsidP="00B71B1A">
      <w:pPr>
        <w:pStyle w:val="Tabla"/>
        <w:keepNext/>
        <w:keepLines/>
        <w:spacing w:before="120" w:line="276" w:lineRule="auto"/>
        <w:ind w:right="-285"/>
      </w:pPr>
      <w:r>
        <w:t>Armadura longitudinal mínima</w:t>
      </w:r>
    </w:p>
    <w:p w:rsidR="00C7085E" w:rsidRDefault="00C7085E" w:rsidP="00B71B1A">
      <w:pPr>
        <w:spacing w:before="120" w:after="240" w:line="276" w:lineRule="auto"/>
        <w:ind w:right="-285"/>
      </w:pPr>
      <w:r>
        <w:t>La separación entre barras deberá ser siempre la máxima posible para asegurar un correcto flujo del hormigón, pero no excederá de los cuatrocientos milímetros (400 mm).</w:t>
      </w:r>
    </w:p>
    <w:p w:rsidR="00C7085E" w:rsidRDefault="00C7085E" w:rsidP="00B71B1A">
      <w:pPr>
        <w:spacing w:before="120" w:after="240" w:line="276" w:lineRule="auto"/>
        <w:ind w:right="-285"/>
      </w:pPr>
      <w:r>
        <w:t>La distancia libre horizontal entre barras longitudinales o conjunto de barras de una capa no puede ser inferior a cien milímetros (100 mm), pudiendo reducirse a ochenta milímetros (80 mm) a lo largo de la longitud de solape, siempre que el tamaño máximo de los áridos no sea mayor de veinte milímetros (20 mm).</w:t>
      </w:r>
    </w:p>
    <w:p w:rsidR="00C7085E" w:rsidRDefault="00C7085E" w:rsidP="00B71B1A">
      <w:pPr>
        <w:spacing w:before="120" w:after="240" w:line="276" w:lineRule="auto"/>
        <w:ind w:right="-285"/>
      </w:pPr>
      <w:r>
        <w:t xml:space="preserve">Los diámetros de las barras transversales para estribos, cercos o armaduras helicoidales serán superiores a los seis milímetros (6 mm) y mayores que una cuarta (1/4) parte del </w:t>
      </w:r>
      <w:r>
        <w:lastRenderedPageBreak/>
        <w:t>diámetro máximo de las barras longitudinales.</w:t>
      </w:r>
    </w:p>
    <w:p w:rsidR="00C7085E" w:rsidRDefault="00C7085E" w:rsidP="00B71B1A">
      <w:pPr>
        <w:spacing w:before="120" w:after="240" w:line="276" w:lineRule="auto"/>
        <w:ind w:right="-285"/>
      </w:pPr>
      <w:r>
        <w:t>La distancia libre horizontal de las barras transversales no debe ser inferior a la distancia libre establecida para la armadura principal.</w:t>
      </w:r>
    </w:p>
    <w:p w:rsidR="00C7085E" w:rsidRDefault="00C7085E" w:rsidP="00B71B1A">
      <w:pPr>
        <w:keepNext/>
        <w:keepLines/>
        <w:spacing w:before="120" w:after="240" w:line="276" w:lineRule="auto"/>
        <w:ind w:right="-285"/>
      </w:pPr>
      <w:r>
        <w:t>La bentonita usada como fluido de sostenimiento deberá cumplir los siguientes requisitos:</w:t>
      </w:r>
    </w:p>
    <w:tbl>
      <w:tblPr>
        <w:tblStyle w:val="Tablaconcuadrcula"/>
        <w:tblW w:w="0" w:type="auto"/>
        <w:jc w:val="center"/>
        <w:tblLook w:val="04A0" w:firstRow="1" w:lastRow="0" w:firstColumn="1" w:lastColumn="0" w:noHBand="0" w:noVBand="1"/>
      </w:tblPr>
      <w:tblGrid>
        <w:gridCol w:w="3497"/>
        <w:gridCol w:w="1418"/>
        <w:gridCol w:w="1573"/>
        <w:gridCol w:w="1919"/>
      </w:tblGrid>
      <w:tr w:rsidR="00C7085E" w:rsidTr="00C7085E">
        <w:trPr>
          <w:jc w:val="center"/>
        </w:trPr>
        <w:tc>
          <w:tcPr>
            <w:tcW w:w="34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Propiedades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Fresco</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Reutilización</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Antes de hormigonar</w:t>
            </w:r>
          </w:p>
        </w:tc>
      </w:tr>
      <w:tr w:rsidR="00C7085E" w:rsidTr="00C7085E">
        <w:trPr>
          <w:jc w:val="center"/>
        </w:trPr>
        <w:tc>
          <w:tcPr>
            <w:tcW w:w="34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Densidad (g/m3)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&lt;1,10</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No aplica</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&lt;1,15</w:t>
            </w:r>
          </w:p>
        </w:tc>
      </w:tr>
      <w:tr w:rsidR="00C7085E" w:rsidTr="00C7085E">
        <w:trPr>
          <w:jc w:val="center"/>
        </w:trPr>
        <w:tc>
          <w:tcPr>
            <w:tcW w:w="34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left"/>
            </w:pPr>
            <w:r>
              <w:t>Viscosidad Marsh (s)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De 32 a 50</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De 32 a 60</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De 32 a 50</w:t>
            </w:r>
          </w:p>
        </w:tc>
      </w:tr>
      <w:tr w:rsidR="00C7085E" w:rsidTr="00C7085E">
        <w:trPr>
          <w:jc w:val="center"/>
        </w:trPr>
        <w:tc>
          <w:tcPr>
            <w:tcW w:w="34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left"/>
            </w:pPr>
            <w:r>
              <w:t>Pérdida fluido (cm</w:t>
            </w:r>
            <w:r>
              <w:rPr>
                <w:vertAlign w:val="superscript"/>
              </w:rPr>
              <w:t>3</w:t>
            </w:r>
            <w: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&lt;30</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&lt;50</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No se aplica</w:t>
            </w:r>
          </w:p>
        </w:tc>
      </w:tr>
      <w:tr w:rsidR="00C7085E" w:rsidTr="00C7085E">
        <w:trPr>
          <w:jc w:val="center"/>
        </w:trPr>
        <w:tc>
          <w:tcPr>
            <w:tcW w:w="34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left"/>
            </w:pPr>
            <w:r>
              <w:t>pH</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De 7 a 11</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De 7 a 12</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No se aplica</w:t>
            </w:r>
          </w:p>
        </w:tc>
      </w:tr>
      <w:tr w:rsidR="00C7085E" w:rsidTr="00C7085E">
        <w:trPr>
          <w:jc w:val="center"/>
        </w:trPr>
        <w:tc>
          <w:tcPr>
            <w:tcW w:w="34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left"/>
            </w:pPr>
            <w:r>
              <w:t>Contenido arena (% del volumen)</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keepLines/>
              <w:spacing w:before="120" w:after="240" w:line="276" w:lineRule="auto"/>
              <w:ind w:right="-285"/>
              <w:jc w:val="center"/>
            </w:pP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No se aplica</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&lt;4</w:t>
            </w:r>
          </w:p>
        </w:tc>
      </w:tr>
      <w:tr w:rsidR="00C7085E" w:rsidTr="00C7085E">
        <w:trPr>
          <w:jc w:val="center"/>
        </w:trPr>
        <w:tc>
          <w:tcPr>
            <w:tcW w:w="34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left"/>
            </w:pPr>
            <w:r>
              <w:t>Cake (mm)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 3</w:t>
            </w:r>
          </w:p>
        </w:tc>
        <w:tc>
          <w:tcPr>
            <w:tcW w:w="1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 6</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No se aplica</w:t>
            </w:r>
          </w:p>
        </w:tc>
      </w:tr>
    </w:tbl>
    <w:p w:rsidR="00C7085E" w:rsidRDefault="00C7085E" w:rsidP="00B71B1A">
      <w:pPr>
        <w:pStyle w:val="Tabla"/>
        <w:keepNext/>
        <w:keepLines/>
        <w:spacing w:before="120" w:line="276" w:lineRule="auto"/>
        <w:ind w:right="-285"/>
      </w:pPr>
      <w:r>
        <w:t>Características de las suspensiones de bentonita</w:t>
      </w:r>
    </w:p>
    <w:p w:rsidR="00C7085E" w:rsidRDefault="00C7085E" w:rsidP="00B71B1A">
      <w:pPr>
        <w:spacing w:before="120" w:after="240" w:line="276" w:lineRule="auto"/>
        <w:ind w:right="-285"/>
      </w:pPr>
      <w:r>
        <w:t>El Adjudicatario deberá presentar a la Dirección de Obra la composición química y mineralógica de la bentonita.</w:t>
      </w:r>
    </w:p>
    <w:p w:rsidR="00C7085E" w:rsidRDefault="00C7085E" w:rsidP="00B71B1A">
      <w:pPr>
        <w:spacing w:before="120" w:after="240" w:line="276" w:lineRule="auto"/>
        <w:ind w:right="-285"/>
      </w:pPr>
      <w:r>
        <w:t>Como fluido de sostenimiento también se pueden utilizar polímeros, bien como único componente, o bien para que trabajen junto con la bentonita y así mejorar la efectividad reológica.</w:t>
      </w:r>
    </w:p>
    <w:p w:rsidR="00C7085E" w:rsidRDefault="00C7085E" w:rsidP="00B71B1A">
      <w:pPr>
        <w:spacing w:before="120" w:after="240" w:line="276" w:lineRule="auto"/>
        <w:ind w:right="-285"/>
      </w:pPr>
      <w:r>
        <w:t>El uso de polímeros se basará en ensayos de perforación a escala real en el emplazamiento o en base a la experiencia comparable en condiciones geotécnicas similares o peores.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 xml:space="preserve">El equipo necesario para la ejecución de las obras ofrecerá las máximas garantías en cuanto se refiere a los extremos siguientes: </w:t>
      </w:r>
    </w:p>
    <w:p w:rsidR="00C7085E" w:rsidRDefault="00C7085E" w:rsidP="00B71B1A">
      <w:pPr>
        <w:widowControl/>
        <w:numPr>
          <w:ilvl w:val="0"/>
          <w:numId w:val="13"/>
        </w:numPr>
        <w:suppressAutoHyphens/>
        <w:spacing w:before="120" w:after="240" w:line="276" w:lineRule="auto"/>
        <w:ind w:left="714" w:right="-285" w:hanging="357"/>
      </w:pPr>
      <w:r>
        <w:t xml:space="preserve">Precisión en la ejecución de la perforación. </w:t>
      </w:r>
    </w:p>
    <w:p w:rsidR="00C7085E" w:rsidRDefault="00C7085E" w:rsidP="00B71B1A">
      <w:pPr>
        <w:widowControl/>
        <w:numPr>
          <w:ilvl w:val="0"/>
          <w:numId w:val="13"/>
        </w:numPr>
        <w:suppressAutoHyphens/>
        <w:spacing w:before="120" w:after="240" w:line="276" w:lineRule="auto"/>
        <w:ind w:left="714" w:right="-285" w:hanging="357"/>
      </w:pPr>
      <w:r>
        <w:t xml:space="preserve">Mínima perturbación del terreno. </w:t>
      </w:r>
    </w:p>
    <w:p w:rsidR="00C7085E" w:rsidRDefault="00C7085E" w:rsidP="00B71B1A">
      <w:pPr>
        <w:widowControl/>
        <w:numPr>
          <w:ilvl w:val="0"/>
          <w:numId w:val="13"/>
        </w:numPr>
        <w:suppressAutoHyphens/>
        <w:spacing w:before="120" w:after="240" w:line="276" w:lineRule="auto"/>
        <w:ind w:left="714" w:right="-285" w:hanging="357"/>
      </w:pPr>
      <w:r>
        <w:t xml:space="preserve">Continuidad de los pilotes. </w:t>
      </w:r>
    </w:p>
    <w:p w:rsidR="00C7085E" w:rsidRDefault="00C7085E" w:rsidP="00B71B1A">
      <w:pPr>
        <w:widowControl/>
        <w:numPr>
          <w:ilvl w:val="0"/>
          <w:numId w:val="13"/>
        </w:numPr>
        <w:suppressAutoHyphens/>
        <w:spacing w:before="120" w:after="240" w:line="276" w:lineRule="auto"/>
        <w:ind w:left="714" w:right="-285" w:hanging="357"/>
      </w:pPr>
      <w:r>
        <w:t xml:space="preserve">Calidad del hormigón. </w:t>
      </w:r>
    </w:p>
    <w:p w:rsidR="00C7085E" w:rsidRDefault="00C7085E" w:rsidP="00B71B1A">
      <w:pPr>
        <w:spacing w:before="120" w:after="240" w:line="276" w:lineRule="auto"/>
        <w:ind w:right="-285"/>
      </w:pPr>
      <w:r>
        <w:lastRenderedPageBreak/>
        <w:t>En el hormigonado de los pilotes se pondrá el mayor cuidado en conseguir que el pilote quede, en toda su longitud, con su sección completa, sin vacíos, bolsadas de aire o agua, coqueras, cortes, ni estrangulamientos. También se deberán evitar el deslavado y segregación del hormigón fresco.</w:t>
      </w:r>
    </w:p>
    <w:p w:rsidR="00C7085E" w:rsidRDefault="00C7085E" w:rsidP="00B71B1A">
      <w:pPr>
        <w:spacing w:before="120" w:after="240" w:line="276" w:lineRule="auto"/>
        <w:ind w:right="-285"/>
      </w:pPr>
      <w:r>
        <w:t>En los pilotes de entubación cerrada, ésta se limpiará, de modo que no quede tierra, agua, ni objeto o sustancia que pueda producir disminución en la resistencia del hormigón. Lo mismo se hará con los pilotes de entubación abierta con tapón o azuche perdidos.</w:t>
      </w:r>
    </w:p>
    <w:p w:rsidR="00C7085E" w:rsidRDefault="00C7085E" w:rsidP="00B71B1A">
      <w:pPr>
        <w:spacing w:before="120" w:after="240" w:line="276" w:lineRule="auto"/>
        <w:ind w:right="-285"/>
      </w:pPr>
      <w:r>
        <w:t>En los demás tipos de pilotes de entubación abierta, se procederá, inmediatamente antes del comienzo del hormigonado, a una limpieza muy cuidadosa del fondo del taladro. Sin embargo, si la sedimentación en dicho fondo rebasase los cinco centímetros (5 cm), se echará en el mismo un volumen de gravilla muy limpia y de graduación uniforme, sin nada de arena, equivalente a unos quince centímetros (15 cm) de altura dentro del taladro construido. Esta gravilla formará un apoyo firme para el pilote, absorbiendo en sus huecos la capa de fango que haya sido imposible limpiar.</w:t>
      </w:r>
    </w:p>
    <w:p w:rsidR="00C7085E" w:rsidRDefault="00C7085E" w:rsidP="00B71B1A">
      <w:pPr>
        <w:spacing w:before="120" w:after="240" w:line="276" w:lineRule="auto"/>
        <w:ind w:right="-285"/>
      </w:pPr>
      <w:r>
        <w:t>Una vez que el hormigonado haya comenzado, el tubo-tremie deberá estar siempre inmerso en, al menos, tres metros (3 m) de hormigón fresco. En caso de conocerse con precisión el nivel de hormigón la profundidad mínima de inmersión podrá reducirse a dos metros (2 m).</w:t>
      </w:r>
    </w:p>
    <w:p w:rsidR="00C7085E" w:rsidRDefault="00C7085E" w:rsidP="00B71B1A">
      <w:pPr>
        <w:spacing w:before="120" w:after="240" w:line="276" w:lineRule="auto"/>
        <w:ind w:right="-285"/>
      </w:pPr>
      <w:r>
        <w:t>Las armaduras longitudinales se suspenderán a una distancia máxima de veinte centímetros (20 cm) respecto al fondo de la perforación y se dispondrán bien centradas y sujetas.</w:t>
      </w:r>
    </w:p>
    <w:p w:rsidR="00C7085E" w:rsidRDefault="00C7085E" w:rsidP="00B71B1A">
      <w:pPr>
        <w:spacing w:before="120" w:after="240" w:line="276" w:lineRule="auto"/>
        <w:ind w:right="-285"/>
      </w:pPr>
      <w:r>
        <w:t>Durante el hormigonado de los pilotes de entubación recuperable, se irá elevando dicha entubación de modo que quede siempre un tapón de hormigón en el fondo de la misma, del orden de dos (2) diámetros, que impida la entrada del terreno circundante.</w:t>
      </w:r>
    </w:p>
    <w:p w:rsidR="00C7085E" w:rsidRDefault="00C7085E" w:rsidP="00B71B1A">
      <w:pPr>
        <w:spacing w:before="120" w:after="240" w:line="276" w:lineRule="auto"/>
        <w:ind w:right="-285"/>
      </w:pPr>
      <w:r>
        <w:t>En los pilotes de entubación recuperable el hormigonado se hará bien en seco, o bien con el tubo inundado lleno de agua, debiendo elegir la Dirección de Obra uno u otro procedimiento según la naturaleza del terreno. Si se hormigona con el tubo inundado, el hormigón se colocará en obra por medio de tubo-tremie, bomba o cualquier artificio que impida su deslavado.</w:t>
      </w:r>
    </w:p>
    <w:p w:rsidR="00C7085E" w:rsidRDefault="00C7085E" w:rsidP="00B71B1A">
      <w:pPr>
        <w:spacing w:before="120" w:after="240" w:line="276" w:lineRule="auto"/>
        <w:ind w:right="-285"/>
      </w:pPr>
      <w:r>
        <w:t xml:space="preserve">El tubo-tremie deberá colocarse en el fondo del pilote al comienzo del hormigonado, y después se izará ligeramente, sin exceder un valor equivalente al diámetro del tubo. </w:t>
      </w:r>
    </w:p>
    <w:p w:rsidR="00C7085E" w:rsidRDefault="00C7085E" w:rsidP="00B71B1A">
      <w:pPr>
        <w:spacing w:before="120" w:after="240" w:line="276" w:lineRule="auto"/>
        <w:ind w:right="-285"/>
      </w:pPr>
      <w:r>
        <w:t>La colocación del hormigón bajo agua o lodos estabilizadores debe realizarse por medio de tubo-tremie, al objeto de evitar la segregación, lavado y contaminación del hormigón.</w:t>
      </w:r>
    </w:p>
    <w:p w:rsidR="00C7085E" w:rsidRDefault="00C7085E" w:rsidP="00B71B1A">
      <w:pPr>
        <w:spacing w:before="120" w:after="240" w:line="276" w:lineRule="auto"/>
        <w:ind w:right="-285"/>
      </w:pPr>
      <w:r>
        <w:t>Si el hormigonado se hace con agua en el tubo, se hormigonará la cabeza del pilote hasta una cota al menos treinta centímetros (30 cm) por encima de la indicada en Proyecto y se demolerá posteriormente este exceso por estar constituido por lechada deslavada que refluye por encima del hormigón colocado. Si al efectuar dicha demolición se observa que los treinta centímetros (30 cm) no han sido suficientes para eliminar todo el hormigón deslavado y de mala calidad, se proseguirá la demolición hasta sanear completamente la cabeza, reemplazando el hormigón demolido por hormigón nuevo, bien adherido al anterior.</w:t>
      </w:r>
    </w:p>
    <w:p w:rsidR="00C7085E" w:rsidRDefault="00C7085E" w:rsidP="00B71B1A">
      <w:pPr>
        <w:spacing w:before="120" w:after="240" w:line="276" w:lineRule="auto"/>
        <w:ind w:right="-285"/>
      </w:pPr>
      <w:r>
        <w:lastRenderedPageBreak/>
        <w:t>El hormigonado de un pilote se hará en todo caso, sin interrupción; de modo que, entre la introducción de dos (2) masas sucesivas, no pase tiempo suficiente para la iniciación del fraguado. Si, por algún incidente, esta prescripción no se cumpliera, la Dirección de Obra decidirá si el pilote puede considerarse válido y terminarse, o no. En el caso de que se interrumpa el hormigonado bajo agua, no se aceptará el pilote salvo que, con la aceptación explícita de la Dirección de Obra, se arbitren medidas para su recuperación y terminación, así como para la comprobación de su correcta ejecución y funcionamiento. El pilote que haya sido rechazado por el motivo indicado, habrá de ser rellenado, sin embargo, en toda su longitud abierta en el terreno. La parte de relleno, después de rechazado el pilote, podrá ejecutarse con hormigón de relleno cuya resistencia característica mínima a compresión sea de doce megapascales y medio (12,5 MPa) a veintiocho días (28 d). Su ejecución se hará con los mismos cuidados que si se tratara de un pilote que hubiera de ser sometido a cargas.</w:t>
      </w:r>
    </w:p>
    <w:p w:rsidR="00C7085E" w:rsidRDefault="00C7085E" w:rsidP="00B71B1A">
      <w:pPr>
        <w:spacing w:before="120" w:after="240" w:line="276" w:lineRule="auto"/>
        <w:ind w:right="-285"/>
      </w:pPr>
      <w:r>
        <w:t xml:space="preserve">El Adjudicatario confeccionará un parte de trabajo de cada pilote, en el que figurarán, al menos: </w:t>
      </w:r>
    </w:p>
    <w:p w:rsidR="00C7085E" w:rsidRDefault="00C7085E" w:rsidP="00B71B1A">
      <w:pPr>
        <w:widowControl/>
        <w:numPr>
          <w:ilvl w:val="0"/>
          <w:numId w:val="13"/>
        </w:numPr>
        <w:suppressAutoHyphens/>
        <w:spacing w:before="120" w:after="240" w:line="276" w:lineRule="auto"/>
        <w:ind w:left="714" w:right="-285" w:hanging="357"/>
      </w:pPr>
      <w:r>
        <w:t xml:space="preserve">La fecha y hora de comienzo y fin de la introducción de la entubación. </w:t>
      </w:r>
    </w:p>
    <w:p w:rsidR="00C7085E" w:rsidRDefault="00C7085E" w:rsidP="00B71B1A">
      <w:pPr>
        <w:widowControl/>
        <w:numPr>
          <w:ilvl w:val="0"/>
          <w:numId w:val="13"/>
        </w:numPr>
        <w:suppressAutoHyphens/>
        <w:spacing w:before="120" w:after="240" w:line="276" w:lineRule="auto"/>
        <w:ind w:left="714" w:right="-285" w:hanging="357"/>
      </w:pPr>
      <w:r>
        <w:t xml:space="preserve">La profundidad total alcanzada por la entubación y por el taladro. </w:t>
      </w:r>
    </w:p>
    <w:p w:rsidR="00C7085E" w:rsidRDefault="00C7085E" w:rsidP="00B71B1A">
      <w:pPr>
        <w:widowControl/>
        <w:numPr>
          <w:ilvl w:val="0"/>
          <w:numId w:val="13"/>
        </w:numPr>
        <w:suppressAutoHyphens/>
        <w:spacing w:before="120" w:after="240" w:line="276" w:lineRule="auto"/>
        <w:ind w:left="714" w:right="-285" w:hanging="357"/>
      </w:pPr>
      <w:r>
        <w:t xml:space="preserve">La profundidad hasta la que se ha introducido la armadura, y la longitud y constitución de la misma. </w:t>
      </w:r>
    </w:p>
    <w:p w:rsidR="00C7085E" w:rsidRDefault="00C7085E" w:rsidP="00B71B1A">
      <w:pPr>
        <w:widowControl/>
        <w:numPr>
          <w:ilvl w:val="0"/>
          <w:numId w:val="13"/>
        </w:numPr>
        <w:suppressAutoHyphens/>
        <w:spacing w:before="120" w:after="240" w:line="276" w:lineRule="auto"/>
        <w:ind w:left="714" w:right="-285" w:hanging="357"/>
      </w:pPr>
      <w:r>
        <w:t xml:space="preserve">La profundidad del nivel de la superficie del agua en el taladro al comienzo del hormigonado. </w:t>
      </w:r>
    </w:p>
    <w:p w:rsidR="00C7085E" w:rsidRDefault="00C7085E" w:rsidP="00B71B1A">
      <w:pPr>
        <w:widowControl/>
        <w:numPr>
          <w:ilvl w:val="0"/>
          <w:numId w:val="13"/>
        </w:numPr>
        <w:suppressAutoHyphens/>
        <w:spacing w:before="120" w:after="240" w:line="276" w:lineRule="auto"/>
        <w:ind w:left="714" w:right="-285" w:hanging="357"/>
      </w:pPr>
      <w:r>
        <w:t xml:space="preserve">La utilización o no de trépano, indicando en su caso profundidad, peso y tiempo de empleo. </w:t>
      </w:r>
    </w:p>
    <w:p w:rsidR="00C7085E" w:rsidRDefault="00C7085E" w:rsidP="00B71B1A">
      <w:pPr>
        <w:widowControl/>
        <w:numPr>
          <w:ilvl w:val="0"/>
          <w:numId w:val="13"/>
        </w:numPr>
        <w:suppressAutoHyphens/>
        <w:spacing w:before="120" w:after="240" w:line="276" w:lineRule="auto"/>
        <w:ind w:left="714" w:right="-285" w:hanging="357"/>
      </w:pPr>
      <w:r>
        <w:t xml:space="preserve">La relación volumen de hormigón-altura </w:t>
      </w:r>
      <w:proofErr w:type="gramStart"/>
      <w:r>
        <w:t>alcanzada</w:t>
      </w:r>
      <w:proofErr w:type="gramEnd"/>
      <w:r>
        <w:t xml:space="preserve">. </w:t>
      </w:r>
    </w:p>
    <w:p w:rsidR="00C7085E" w:rsidRDefault="00C7085E" w:rsidP="00B71B1A">
      <w:pPr>
        <w:widowControl/>
        <w:numPr>
          <w:ilvl w:val="0"/>
          <w:numId w:val="13"/>
        </w:numPr>
        <w:suppressAutoHyphens/>
        <w:spacing w:before="120" w:after="240" w:line="276" w:lineRule="auto"/>
        <w:ind w:left="714" w:right="-285" w:hanging="357"/>
      </w:pPr>
      <w:r>
        <w:t xml:space="preserve">La fecha y hora del comienzo y terminación del mismo. </w:t>
      </w:r>
    </w:p>
    <w:p w:rsidR="00C7085E" w:rsidRDefault="00C7085E" w:rsidP="00B71B1A">
      <w:pPr>
        <w:spacing w:before="120" w:after="240" w:line="276" w:lineRule="auto"/>
        <w:ind w:right="-285"/>
      </w:pPr>
      <w:r>
        <w:t>En el caso de pilotes excavados, se registrará la calidad y espesor de los estratos atravesados y se tomarán muestras del terreno, en la forma y con la frecuencia que ordenen el Proyecto o la Dirección de Obra.</w:t>
      </w:r>
    </w:p>
    <w:p w:rsidR="00C7085E" w:rsidRDefault="00C7085E" w:rsidP="00B71B1A">
      <w:pPr>
        <w:spacing w:before="120" w:after="240" w:line="276" w:lineRule="auto"/>
        <w:ind w:right="-285"/>
      </w:pPr>
      <w:r>
        <w:t>Sobre alguno de los pilotes de prueba, o bien sobre cualquiera de los de trabajo, se efectuarán las pruebas de carga y los ensayos sónicos, de impedancia mecánica o cualquier otro previsto en el Proyecto u ordenado por la Dirección de Obra.</w:t>
      </w:r>
    </w:p>
    <w:p w:rsidR="00C7085E" w:rsidRDefault="00C7085E" w:rsidP="00B71B1A">
      <w:pPr>
        <w:spacing w:before="120" w:after="240" w:line="276" w:lineRule="auto"/>
        <w:ind w:right="-285"/>
      </w:pPr>
      <w:r>
        <w:t>En el caso de pilote aislado bajo un pilar se recomienda equipar todos los pilotes para su posible comprobación, y llevar a cabo pruebas del tipo señalado en, al menos, un (1) pilote de cada tres (3).</w:t>
      </w:r>
    </w:p>
    <w:p w:rsidR="00C7085E" w:rsidRDefault="00C7085E" w:rsidP="00B71B1A">
      <w:pPr>
        <w:spacing w:before="120" w:after="240" w:line="276" w:lineRule="auto"/>
        <w:ind w:right="-285"/>
      </w:pPr>
      <w:r>
        <w:t xml:space="preserve">Si los resultados de los ensayos sónicos o de impedancia mecánica revelaran posibles anomalías, la Dirección de Obra podrá ordenar bien la comprobación del diseño teórico del </w:t>
      </w:r>
      <w:r>
        <w:lastRenderedPageBreak/>
        <w:t xml:space="preserve">pilote, bien la comprobación de la continuidad del pilote mediante sondeos, de cuya interpretación podrá establecer: </w:t>
      </w:r>
    </w:p>
    <w:p w:rsidR="00C7085E" w:rsidRDefault="00C7085E" w:rsidP="00B71B1A">
      <w:pPr>
        <w:widowControl/>
        <w:numPr>
          <w:ilvl w:val="0"/>
          <w:numId w:val="13"/>
        </w:numPr>
        <w:spacing w:before="120" w:after="240" w:line="276" w:lineRule="auto"/>
        <w:ind w:left="714" w:right="-285" w:hanging="357"/>
      </w:pPr>
      <w:r>
        <w:t xml:space="preserve">La realización de pruebas de carga. </w:t>
      </w:r>
    </w:p>
    <w:p w:rsidR="00C7085E" w:rsidRDefault="00C7085E" w:rsidP="00B71B1A">
      <w:pPr>
        <w:widowControl/>
        <w:numPr>
          <w:ilvl w:val="0"/>
          <w:numId w:val="13"/>
        </w:numPr>
        <w:spacing w:before="120" w:after="240" w:line="276" w:lineRule="auto"/>
        <w:ind w:left="714" w:right="-285" w:hanging="357"/>
      </w:pPr>
      <w:r>
        <w:t xml:space="preserve">La necesidad de reparación del pilote. </w:t>
      </w:r>
    </w:p>
    <w:p w:rsidR="00C7085E" w:rsidRDefault="00C7085E" w:rsidP="00B71B1A">
      <w:pPr>
        <w:widowControl/>
        <w:numPr>
          <w:ilvl w:val="0"/>
          <w:numId w:val="13"/>
        </w:numPr>
        <w:spacing w:before="120" w:after="240" w:line="276" w:lineRule="auto"/>
        <w:ind w:left="714" w:right="-285" w:hanging="357"/>
      </w:pPr>
      <w:r>
        <w:t xml:space="preserve">El rechazo del pilote. </w:t>
      </w:r>
    </w:p>
    <w:p w:rsidR="00C7085E" w:rsidRDefault="00C7085E" w:rsidP="00B71B1A">
      <w:pPr>
        <w:spacing w:before="120" w:after="240" w:line="276" w:lineRule="auto"/>
        <w:ind w:right="-285"/>
      </w:pPr>
      <w:r>
        <w:t>En el caso de realizar pruebas de carga, si éstas produjesen asientos excesivos y se demostrase que ello se debía a defectos del pilote, por causas imputables al Adjudicatario, la Dirección de Obra podrá ordenar la ejecución, a cargo de éste, de nuevas series de control sobre tres (3) pilotes, por cada pilote defectuoso encontrado. En el caso de realizar pruebas de carga suplementarias, se aplicará sobre el pilote una carga máxima del ciento veinticinco por ciento (125%) de la de trabajo. La Dirección de Obra definirá los criterios a seguir para la aceptación o rechazo de la cimentación a la vista de los resultados de los ensayos de carga o de cualquier otra comprobación que se realice.</w:t>
      </w:r>
    </w:p>
    <w:p w:rsidR="00C7085E" w:rsidRDefault="00C7085E" w:rsidP="00B71B1A">
      <w:pPr>
        <w:spacing w:before="120" w:after="240" w:line="276" w:lineRule="auto"/>
        <w:ind w:right="-285"/>
      </w:pPr>
      <w:r>
        <w:t>El recubrimiento de hormigón para la armadura se establecerá de acuerdo con lo especificado en la Instrucción de Hormigón Estructural (EHE).</w:t>
      </w:r>
    </w:p>
    <w:p w:rsidR="00C7085E" w:rsidRDefault="00C7085E" w:rsidP="00B71B1A">
      <w:pPr>
        <w:spacing w:before="120" w:after="240" w:line="276" w:lineRule="auto"/>
        <w:ind w:right="-285"/>
      </w:pPr>
      <w:r>
        <w:t>El recubrimiento mínimo se incrementará a setenta y cinco milímetros (75 mm) cuando:</w:t>
      </w:r>
    </w:p>
    <w:p w:rsidR="00C7085E" w:rsidRDefault="00C7085E" w:rsidP="00B71B1A">
      <w:pPr>
        <w:widowControl/>
        <w:numPr>
          <w:ilvl w:val="0"/>
          <w:numId w:val="13"/>
        </w:numPr>
        <w:suppressAutoHyphens/>
        <w:spacing w:before="120" w:after="240" w:line="276" w:lineRule="auto"/>
        <w:ind w:left="714" w:right="-285" w:hanging="357"/>
      </w:pPr>
      <w:r>
        <w:t>El pilote se ejecute en terreno blando y se ejecute sin revestimiento.</w:t>
      </w:r>
    </w:p>
    <w:p w:rsidR="00C7085E" w:rsidRDefault="00C7085E" w:rsidP="00B71B1A">
      <w:pPr>
        <w:widowControl/>
        <w:numPr>
          <w:ilvl w:val="0"/>
          <w:numId w:val="13"/>
        </w:numPr>
        <w:suppressAutoHyphens/>
        <w:spacing w:before="120" w:after="240" w:line="276" w:lineRule="auto"/>
        <w:ind w:left="714" w:right="-285" w:hanging="357"/>
      </w:pPr>
      <w:r>
        <w:t>Se hormigone en condiciones sumergidas con áridos de treinta y dos milímetros (32 mm).</w:t>
      </w:r>
    </w:p>
    <w:p w:rsidR="00C7085E" w:rsidRDefault="00C7085E" w:rsidP="00B71B1A">
      <w:pPr>
        <w:widowControl/>
        <w:numPr>
          <w:ilvl w:val="0"/>
          <w:numId w:val="13"/>
        </w:numPr>
        <w:suppressAutoHyphens/>
        <w:spacing w:before="120" w:after="240" w:line="276" w:lineRule="auto"/>
        <w:ind w:left="714" w:right="-285" w:hanging="357"/>
      </w:pPr>
      <w:r>
        <w:t>Se utilice humo de sílice como sustituto del cemento.</w:t>
      </w:r>
    </w:p>
    <w:p w:rsidR="00C7085E" w:rsidRDefault="00C7085E" w:rsidP="00B71B1A">
      <w:pPr>
        <w:widowControl/>
        <w:numPr>
          <w:ilvl w:val="0"/>
          <w:numId w:val="13"/>
        </w:numPr>
        <w:suppressAutoHyphens/>
        <w:spacing w:before="120" w:after="240" w:line="276" w:lineRule="auto"/>
        <w:ind w:left="714" w:right="-285" w:hanging="357"/>
      </w:pPr>
      <w:r>
        <w:t>Se coloque la armadura después del hormigonado.</w:t>
      </w:r>
    </w:p>
    <w:p w:rsidR="00C7085E" w:rsidRDefault="00C7085E" w:rsidP="00B71B1A">
      <w:pPr>
        <w:widowControl/>
        <w:numPr>
          <w:ilvl w:val="0"/>
          <w:numId w:val="13"/>
        </w:numPr>
        <w:suppressAutoHyphens/>
        <w:spacing w:before="120" w:after="240" w:line="276" w:lineRule="auto"/>
        <w:ind w:left="714" w:right="-285" w:hanging="357"/>
      </w:pPr>
      <w:r>
        <w:t>La superficie de las paredes de perforación sea irregular.</w:t>
      </w:r>
    </w:p>
    <w:p w:rsidR="00C7085E" w:rsidRDefault="00C7085E" w:rsidP="00B71B1A">
      <w:pPr>
        <w:spacing w:before="120" w:after="240" w:line="276" w:lineRule="auto"/>
        <w:ind w:right="-285"/>
      </w:pPr>
      <w:r>
        <w:t>En el caso de utilizar un entubado o revestimiento permanente, el recubrimiento mínimo de hormigón podrá reducirse a cuarenta milímetros (40 mm).</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los materiales</w:t>
      </w:r>
    </w:p>
    <w:p w:rsidR="00C7085E" w:rsidRDefault="00C7085E" w:rsidP="00B71B1A">
      <w:pPr>
        <w:spacing w:before="120" w:after="240" w:line="276" w:lineRule="auto"/>
        <w:ind w:right="-285"/>
      </w:pPr>
      <w:r>
        <w:t>Se cumplirán las especificaciones establecidas al respecto en la Instrucción para la Recepción de Cementos (RC-08) y en la Instrucción de Hormigón Estructural (EHE).</w:t>
      </w:r>
    </w:p>
    <w:p w:rsidR="00C7085E" w:rsidRDefault="00C7085E" w:rsidP="00B71B1A">
      <w:pPr>
        <w:spacing w:before="120" w:after="240" w:line="276" w:lineRule="auto"/>
        <w:ind w:right="-285"/>
        <w:rPr>
          <w:u w:val="single"/>
        </w:rPr>
      </w:pPr>
      <w:r>
        <w:rPr>
          <w:u w:val="single"/>
        </w:rPr>
        <w:t>Control de la ejecución:</w:t>
      </w:r>
    </w:p>
    <w:p w:rsidR="00C7085E" w:rsidRDefault="00C7085E" w:rsidP="00B71B1A">
      <w:pPr>
        <w:spacing w:before="120" w:after="240" w:line="276" w:lineRule="auto"/>
        <w:ind w:right="-285"/>
      </w:pPr>
      <w:r>
        <w:t>Durante las diferentes fases de la construcción se deberán supervisar y controlar  los siguientes puntos:</w:t>
      </w:r>
    </w:p>
    <w:p w:rsidR="00C7085E" w:rsidRDefault="00C7085E" w:rsidP="00B71B1A">
      <w:pPr>
        <w:pStyle w:val="Ttulo6"/>
        <w:keepNext/>
        <w:numPr>
          <w:ilvl w:val="0"/>
          <w:numId w:val="0"/>
        </w:numPr>
        <w:spacing w:before="120" w:after="240" w:line="276" w:lineRule="auto"/>
        <w:ind w:left="431" w:right="-285" w:hanging="431"/>
      </w:pPr>
      <w:r>
        <w:lastRenderedPageBreak/>
        <w:t>Trabajos previos a la fase de excavación:</w:t>
      </w:r>
    </w:p>
    <w:p w:rsidR="00C7085E" w:rsidRDefault="00C7085E" w:rsidP="00B71B1A">
      <w:pPr>
        <w:widowControl/>
        <w:numPr>
          <w:ilvl w:val="0"/>
          <w:numId w:val="13"/>
        </w:numPr>
        <w:suppressAutoHyphens/>
        <w:spacing w:before="120" w:after="240" w:line="276" w:lineRule="auto"/>
        <w:ind w:right="-285"/>
      </w:pPr>
      <w:r>
        <w:t>Localización de los pilotes perforados</w:t>
      </w:r>
    </w:p>
    <w:p w:rsidR="00C7085E" w:rsidRDefault="00C7085E" w:rsidP="00B71B1A">
      <w:pPr>
        <w:widowControl/>
        <w:numPr>
          <w:ilvl w:val="0"/>
          <w:numId w:val="13"/>
        </w:numPr>
        <w:suppressAutoHyphens/>
        <w:spacing w:before="120" w:after="240" w:line="276" w:lineRule="auto"/>
        <w:ind w:right="-285"/>
      </w:pPr>
      <w:r>
        <w:t>Materiales</w:t>
      </w:r>
    </w:p>
    <w:p w:rsidR="00C7085E" w:rsidRDefault="00C7085E" w:rsidP="00B71B1A">
      <w:pPr>
        <w:widowControl/>
        <w:numPr>
          <w:ilvl w:val="0"/>
          <w:numId w:val="13"/>
        </w:numPr>
        <w:suppressAutoHyphens/>
        <w:spacing w:before="120" w:after="240" w:line="276" w:lineRule="auto"/>
        <w:ind w:right="-285"/>
      </w:pPr>
      <w:r>
        <w:t>Jaulas de armadura (dimensiones, montaje y longitud), y otros elementos a insertar</w:t>
      </w:r>
    </w:p>
    <w:p w:rsidR="00C7085E" w:rsidRDefault="00C7085E" w:rsidP="00B71B1A">
      <w:pPr>
        <w:pStyle w:val="Ttulo6"/>
        <w:keepNext/>
        <w:numPr>
          <w:ilvl w:val="0"/>
          <w:numId w:val="0"/>
        </w:numPr>
        <w:spacing w:before="120" w:after="240" w:line="276" w:lineRule="auto"/>
        <w:ind w:left="431" w:right="-285" w:hanging="431"/>
      </w:pPr>
      <w:r>
        <w:t>Ejecución de los pilotes perforados:</w:t>
      </w:r>
    </w:p>
    <w:p w:rsidR="00C7085E" w:rsidRDefault="00C7085E" w:rsidP="00B71B1A">
      <w:pPr>
        <w:widowControl/>
        <w:numPr>
          <w:ilvl w:val="0"/>
          <w:numId w:val="13"/>
        </w:numPr>
        <w:suppressAutoHyphens/>
        <w:spacing w:before="120" w:after="240" w:line="276" w:lineRule="auto"/>
        <w:ind w:right="-285"/>
      </w:pPr>
      <w:r>
        <w:t>Método de excavación (herramientas y equipo), dimensiones y profundidad</w:t>
      </w:r>
    </w:p>
    <w:p w:rsidR="00C7085E" w:rsidRDefault="00C7085E" w:rsidP="00B71B1A">
      <w:pPr>
        <w:widowControl/>
        <w:numPr>
          <w:ilvl w:val="0"/>
          <w:numId w:val="13"/>
        </w:numPr>
        <w:suppressAutoHyphens/>
        <w:spacing w:before="120" w:after="240" w:line="276" w:lineRule="auto"/>
        <w:ind w:right="-285"/>
      </w:pPr>
      <w:r>
        <w:t>Ejecución de la excavación (nivel y características del fluido de sostenimiento, instalación de entubados, construcción de uniones de pilotes y de ensanchamientos, etc.)</w:t>
      </w:r>
    </w:p>
    <w:p w:rsidR="00C7085E" w:rsidRDefault="00C7085E" w:rsidP="00B71B1A">
      <w:pPr>
        <w:widowControl/>
        <w:numPr>
          <w:ilvl w:val="0"/>
          <w:numId w:val="13"/>
        </w:numPr>
        <w:suppressAutoHyphens/>
        <w:spacing w:before="120" w:after="240" w:line="276" w:lineRule="auto"/>
        <w:ind w:right="-285"/>
      </w:pPr>
      <w:r>
        <w:t>Limpieza de la excavación</w:t>
      </w:r>
    </w:p>
    <w:p w:rsidR="00C7085E" w:rsidRDefault="00C7085E" w:rsidP="00B71B1A">
      <w:pPr>
        <w:widowControl/>
        <w:numPr>
          <w:ilvl w:val="0"/>
          <w:numId w:val="13"/>
        </w:numPr>
        <w:suppressAutoHyphens/>
        <w:spacing w:before="120" w:after="240" w:line="276" w:lineRule="auto"/>
        <w:ind w:right="-285"/>
      </w:pPr>
      <w:r>
        <w:t>Colocación de la jaula de armadura (profundidad, posición) u otros elementos.</w:t>
      </w:r>
    </w:p>
    <w:p w:rsidR="00C7085E" w:rsidRDefault="00C7085E" w:rsidP="00B71B1A">
      <w:pPr>
        <w:widowControl/>
        <w:numPr>
          <w:ilvl w:val="0"/>
          <w:numId w:val="13"/>
        </w:numPr>
        <w:suppressAutoHyphens/>
        <w:spacing w:before="120" w:after="240" w:line="276" w:lineRule="auto"/>
        <w:ind w:right="-285"/>
      </w:pPr>
      <w:r>
        <w:t xml:space="preserve">Hormigonado </w:t>
      </w:r>
    </w:p>
    <w:p w:rsidR="00C7085E" w:rsidRDefault="00C7085E" w:rsidP="00B71B1A">
      <w:pPr>
        <w:widowControl/>
        <w:numPr>
          <w:ilvl w:val="0"/>
          <w:numId w:val="13"/>
        </w:numPr>
        <w:suppressAutoHyphens/>
        <w:spacing w:before="120" w:after="240" w:line="276" w:lineRule="auto"/>
        <w:ind w:right="-285"/>
      </w:pPr>
      <w:r>
        <w:t>Fase post-hormigonado (recuperación de entubados provisionales, inyección del fuste y/o punta, incluyendo las características de las lechadas, etc.</w:t>
      </w:r>
    </w:p>
    <w:p w:rsidR="00C7085E" w:rsidRDefault="00C7085E" w:rsidP="00B71B1A">
      <w:pPr>
        <w:spacing w:before="120" w:after="240" w:line="276" w:lineRule="auto"/>
        <w:ind w:right="-285"/>
        <w:rPr>
          <w:u w:val="single"/>
        </w:rPr>
      </w:pPr>
      <w:r>
        <w:rPr>
          <w:u w:val="single"/>
        </w:rPr>
        <w:t>Tolerancias:</w:t>
      </w:r>
    </w:p>
    <w:p w:rsidR="00C7085E" w:rsidRDefault="00C7085E" w:rsidP="00B71B1A">
      <w:pPr>
        <w:tabs>
          <w:tab w:val="left" w:pos="142"/>
        </w:tabs>
        <w:spacing w:before="120" w:after="240" w:line="276" w:lineRule="auto"/>
        <w:ind w:right="-285"/>
      </w:pPr>
      <w:r>
        <w:t xml:space="preserve">Los pilotes se construirán con los siguientes rangos de tolerancias: </w:t>
      </w:r>
    </w:p>
    <w:p w:rsidR="00C7085E" w:rsidRDefault="00C7085E" w:rsidP="00B71B1A">
      <w:pPr>
        <w:widowControl/>
        <w:numPr>
          <w:ilvl w:val="0"/>
          <w:numId w:val="16"/>
        </w:numPr>
        <w:suppressAutoHyphens/>
        <w:spacing w:before="120" w:after="240" w:line="276" w:lineRule="auto"/>
        <w:ind w:left="714" w:right="-285" w:hanging="357"/>
      </w:pPr>
      <w:r>
        <w:t xml:space="preserve">La excentricidad del eje del pilote respecto a la posición fijada, será inferior a diez centímetros (10 cm) para pilotes de diámetro no superior a un metro (1 m) y a la décima (1/10) parte del diámetro en caso contrario, pero siempre inferior a quince centímetros (15 cm). </w:t>
      </w:r>
    </w:p>
    <w:p w:rsidR="00C7085E" w:rsidRDefault="00C7085E" w:rsidP="00B71B1A">
      <w:pPr>
        <w:widowControl/>
        <w:numPr>
          <w:ilvl w:val="0"/>
          <w:numId w:val="16"/>
        </w:numPr>
        <w:suppressAutoHyphens/>
        <w:spacing w:before="120" w:after="240" w:line="276" w:lineRule="auto"/>
        <w:ind w:left="714" w:right="-285" w:hanging="357"/>
      </w:pPr>
      <w:r>
        <w:t xml:space="preserve">Para pilotes verticales o con pendiente superior a quince (15V:1H) el error de inclinación no excederá el dos por ciento (2%) del valor de la pendiente. </w:t>
      </w:r>
    </w:p>
    <w:p w:rsidR="00C7085E" w:rsidRDefault="00C7085E" w:rsidP="00B71B1A">
      <w:pPr>
        <w:widowControl/>
        <w:numPr>
          <w:ilvl w:val="0"/>
          <w:numId w:val="16"/>
        </w:numPr>
        <w:suppressAutoHyphens/>
        <w:spacing w:before="120" w:after="240" w:line="276" w:lineRule="auto"/>
        <w:ind w:left="714" w:right="-285" w:hanging="357"/>
      </w:pPr>
      <w:r>
        <w:t>Para pilotes inclinados con pendientes comprendidas entre quince (15V:1H) y cuatro (4V:1H) el error de inclinación no excederá del cuatro por ciento (4%) del valor de la pendiente.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cimentaciones por pilotes moldeados "in situ" se abonarán por metros (m) de pilote realmente ejecutados medidos en el terreno como suma de las longitudes de cada uno de ellos, desde la punta hasta la cara inferior del encepado.</w:t>
      </w:r>
    </w:p>
    <w:p w:rsidR="00C7085E" w:rsidRDefault="00C7085E" w:rsidP="00B71B1A">
      <w:pPr>
        <w:spacing w:before="120" w:after="240" w:line="276" w:lineRule="auto"/>
        <w:ind w:right="-285"/>
      </w:pPr>
      <w:r>
        <w:t>En caso de que existan causas que lo justifiquen, podrá abonarse el exceso de hormigón consumido sobre el volumen teórico correspondiente al diámetro nominal del pilote.</w:t>
      </w:r>
    </w:p>
    <w:p w:rsidR="00C7085E" w:rsidRDefault="00C7085E" w:rsidP="00B71B1A">
      <w:pPr>
        <w:spacing w:before="120" w:after="240" w:line="276" w:lineRule="auto"/>
        <w:ind w:right="-285"/>
      </w:pPr>
      <w:r>
        <w:lastRenderedPageBreak/>
        <w:t xml:space="preserve">No se abonarán: </w:t>
      </w:r>
    </w:p>
    <w:p w:rsidR="00C7085E" w:rsidRDefault="00C7085E" w:rsidP="00B71B1A">
      <w:pPr>
        <w:widowControl/>
        <w:numPr>
          <w:ilvl w:val="0"/>
          <w:numId w:val="12"/>
        </w:numPr>
        <w:suppressAutoHyphens/>
        <w:spacing w:before="120" w:after="240" w:line="276" w:lineRule="auto"/>
        <w:ind w:left="714" w:right="-285" w:hanging="357"/>
      </w:pPr>
      <w:r>
        <w:t xml:space="preserve">Las pruebas de carga en los pilotes de trabajo, si se realizan por dudas en su validez, como consecuencia de un trabajo defectuoso, o por causas que sean imputables al Adjudicatario. </w:t>
      </w:r>
    </w:p>
    <w:p w:rsidR="00C7085E" w:rsidRDefault="00C7085E" w:rsidP="00B71B1A">
      <w:pPr>
        <w:widowControl/>
        <w:numPr>
          <w:ilvl w:val="0"/>
          <w:numId w:val="12"/>
        </w:numPr>
        <w:suppressAutoHyphens/>
        <w:spacing w:before="120" w:after="240" w:line="276" w:lineRule="auto"/>
        <w:ind w:left="714" w:right="-285" w:hanging="357"/>
      </w:pPr>
      <w:r>
        <w:t xml:space="preserve">Los ensayos de nuevas series de control ordenados por la Dirección de Obra como consecuencia de haber encontrado pilotes defectuosos. </w:t>
      </w:r>
    </w:p>
    <w:p w:rsidR="00C7085E" w:rsidRDefault="00C7085E" w:rsidP="00B71B1A">
      <w:pPr>
        <w:widowControl/>
        <w:numPr>
          <w:ilvl w:val="0"/>
          <w:numId w:val="12"/>
        </w:numPr>
        <w:suppressAutoHyphens/>
        <w:spacing w:before="120" w:after="240" w:line="276" w:lineRule="auto"/>
        <w:ind w:left="714" w:right="-285" w:hanging="357"/>
      </w:pPr>
      <w:r>
        <w:t xml:space="preserve">El exceso de hormigón en las cabezas de los pilotes hormigonados con agua en el tubo. </w:t>
      </w:r>
    </w:p>
    <w:p w:rsidR="00C7085E" w:rsidRDefault="00C7085E" w:rsidP="00B71B1A">
      <w:pPr>
        <w:widowControl/>
        <w:numPr>
          <w:ilvl w:val="0"/>
          <w:numId w:val="12"/>
        </w:numPr>
        <w:suppressAutoHyphens/>
        <w:spacing w:before="120" w:after="240" w:line="276" w:lineRule="auto"/>
        <w:ind w:left="714" w:right="-285" w:hanging="357"/>
      </w:pPr>
      <w:r>
        <w:t xml:space="preserve">Los pilotes rechazados o defectuosos. </w:t>
      </w:r>
    </w:p>
    <w:p w:rsidR="00C7085E" w:rsidRDefault="00C7085E" w:rsidP="00B71B1A">
      <w:pPr>
        <w:widowControl/>
        <w:numPr>
          <w:ilvl w:val="0"/>
          <w:numId w:val="12"/>
        </w:numPr>
        <w:suppressAutoHyphens/>
        <w:spacing w:before="120" w:after="240" w:line="276" w:lineRule="auto"/>
        <w:ind w:left="714" w:right="-285" w:hanging="357"/>
      </w:pPr>
      <w:r>
        <w:t xml:space="preserve">La demolición de la cabeza del pilote, por incluirse dentro del precio del propio pilote. </w:t>
      </w:r>
    </w:p>
    <w:p w:rsidR="00C7085E" w:rsidRDefault="00C7085E" w:rsidP="00B71B1A">
      <w:pPr>
        <w:widowControl/>
        <w:numPr>
          <w:ilvl w:val="0"/>
          <w:numId w:val="12"/>
        </w:numPr>
        <w:suppressAutoHyphens/>
        <w:spacing w:before="120" w:after="240" w:line="276" w:lineRule="auto"/>
        <w:ind w:left="714" w:right="-285" w:hanging="357"/>
      </w:pPr>
      <w:r>
        <w:t xml:space="preserve">La recuperación de la entubación, en el caso de ejecutarse pilotes del tipo CPI-4, por incluirse dentro del precio del propio pilote. </w:t>
      </w:r>
    </w:p>
    <w:p w:rsidR="00C7085E" w:rsidRDefault="00C7085E" w:rsidP="00B71B1A">
      <w:pPr>
        <w:widowControl/>
        <w:numPr>
          <w:ilvl w:val="0"/>
          <w:numId w:val="12"/>
        </w:numPr>
        <w:suppressAutoHyphens/>
        <w:spacing w:before="120" w:after="240" w:line="276" w:lineRule="auto"/>
        <w:ind w:left="714" w:right="-285" w:hanging="357"/>
      </w:pPr>
      <w:r>
        <w:t xml:space="preserve">Los lodos bentoníticos, en el caso de ejecutarse pilotes del tipo CPI-6, por incluirse dentro del precio del propio pilote. </w:t>
      </w:r>
    </w:p>
    <w:p w:rsidR="00C7085E" w:rsidRDefault="00C7085E" w:rsidP="00B71B1A">
      <w:pPr>
        <w:spacing w:before="120" w:after="240" w:line="276" w:lineRule="auto"/>
        <w:ind w:right="-285"/>
      </w:pPr>
      <w:r>
        <w:t xml:space="preserve">Asimismo, en el precio se considera incluido parte proporcional de transporte, la instalación, montaje y desmontaje de equipos, la protección de la cabeza del pilote, la limpieza y retirada de sobrantes, y todas las operaciones necesarias para dejar el pilote totalmente terminado. </w:t>
      </w:r>
    </w:p>
    <w:p w:rsidR="00C7085E" w:rsidRDefault="00C7085E" w:rsidP="00B71B1A">
      <w:pPr>
        <w:spacing w:before="120" w:after="240" w:line="276" w:lineRule="auto"/>
        <w:ind w:right="-285"/>
      </w:pPr>
      <w:r>
        <w:t>Los pilotes se abonarán, en función de su tipología y diámetro, aplicando el precio que corresponda, de los que figuren en el Cuadro de Precios vigente de Canal de Isabel II Gestión.</w:t>
      </w:r>
    </w:p>
    <w:p w:rsidR="00C7085E" w:rsidRDefault="00C7085E" w:rsidP="00B71B1A">
      <w:pPr>
        <w:spacing w:before="120" w:after="240" w:line="276" w:lineRule="auto"/>
        <w:ind w:right="-285"/>
      </w:pPr>
      <w:r>
        <w:t>Las vigas de atado, encepados y demás elementos estructurales se medirán y abonarán con las correspondientes unidades de obra que les sean de aplicación.</w:t>
      </w:r>
    </w:p>
    <w:p w:rsidR="00C7085E" w:rsidRDefault="00C7085E" w:rsidP="00B71B1A">
      <w:pPr>
        <w:pStyle w:val="Ttulo3"/>
        <w:widowControl/>
        <w:numPr>
          <w:ilvl w:val="2"/>
          <w:numId w:val="5"/>
        </w:numPr>
        <w:tabs>
          <w:tab w:val="left" w:pos="567"/>
        </w:tabs>
        <w:suppressAutoHyphens/>
        <w:snapToGrid w:val="0"/>
        <w:spacing w:before="120" w:after="240" w:line="276" w:lineRule="auto"/>
        <w:ind w:left="1701" w:right="-285" w:hanging="1701"/>
      </w:pPr>
      <w:bookmarkStart w:id="141" w:name="_Toc414021780"/>
      <w:bookmarkStart w:id="142" w:name="_Toc448741402"/>
      <w:r>
        <w:t>Pilotes prefabricados</w:t>
      </w:r>
      <w:bookmarkEnd w:id="141"/>
      <w:bookmarkEnd w:id="142"/>
    </w:p>
    <w:p w:rsidR="00C7085E" w:rsidRDefault="00C7085E" w:rsidP="00B71B1A">
      <w:pPr>
        <w:keepNext/>
        <w:spacing w:before="120" w:after="240" w:line="276" w:lineRule="auto"/>
        <w:ind w:right="-285"/>
      </w:pPr>
      <w:r>
        <w:t>Este artículo hace referencia a pilotes de cimentación prefabricados de hormigón armado, elaborados en fábrica y puestos en obra por medio de impacto, vibración, presión u otras técnicas adecuadas.</w:t>
      </w:r>
    </w:p>
    <w:p w:rsidR="00C7085E" w:rsidRDefault="00C7085E" w:rsidP="00B71B1A">
      <w:pPr>
        <w:spacing w:before="120" w:after="240" w:line="276" w:lineRule="auto"/>
        <w:ind w:right="-285"/>
      </w:pPr>
      <w:r>
        <w:t>En el cálculo, fabricación, control e hincado de este tipo de pilotes deberá cumplirse lo especificado por las siguientes normas e instrucciones: UNE-EN 12794: “</w:t>
      </w:r>
      <w:r>
        <w:rPr>
          <w:i/>
        </w:rPr>
        <w:t xml:space="preserve">Productos prefabricados de hormigón. Pilotes de cimentación.”, </w:t>
      </w:r>
      <w:r>
        <w:t>UNE-EN 12699: “</w:t>
      </w:r>
      <w:r>
        <w:rPr>
          <w:i/>
        </w:rPr>
        <w:t>Realización de trabajos geotécnicos especiales. Pilotes de desplazamiento</w:t>
      </w:r>
      <w:r>
        <w:t>”,</w:t>
      </w:r>
      <w:r>
        <w:rPr>
          <w:i/>
        </w:rPr>
        <w:t xml:space="preserve"> </w:t>
      </w:r>
      <w:r>
        <w:t>Norma Tecnológica NT-CPP: “</w:t>
      </w:r>
      <w:r>
        <w:rPr>
          <w:i/>
        </w:rPr>
        <w:t>Cimentaciones: Pilotes prefabricados</w:t>
      </w:r>
      <w:r>
        <w:t>”, el Código Técnico de la Edificación DB SE-C: “Cimientos”, y la Instrucción de Hormigón Estructural (EHE).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 xml:space="preserve">Las materias primas utilizadas en la fabricación de los pilotes prefabricados deberán cumplir </w:t>
      </w:r>
      <w:r>
        <w:lastRenderedPageBreak/>
        <w:t>las especificaciones establecidas en la Instrucción de Hormigón Estructural (EHE).</w:t>
      </w:r>
    </w:p>
    <w:p w:rsidR="00C7085E" w:rsidRDefault="00C7085E" w:rsidP="00B71B1A">
      <w:pPr>
        <w:spacing w:before="120" w:after="240" w:line="276" w:lineRule="auto"/>
        <w:ind w:right="-285"/>
      </w:pPr>
      <w:r>
        <w:t>El hormigón empleado tendrá una resistencia característica a compresión superior a treinta y cinco Newton por milímetro cuadrado (35 N/mm</w:t>
      </w:r>
      <w:r>
        <w:rPr>
          <w:vertAlign w:val="superscript"/>
        </w:rPr>
        <w:t>2</w:t>
      </w:r>
      <w:r>
        <w:t>).</w:t>
      </w:r>
    </w:p>
    <w:p w:rsidR="00C7085E" w:rsidRDefault="00C7085E" w:rsidP="00B71B1A">
      <w:pPr>
        <w:spacing w:before="120" w:after="240" w:line="276" w:lineRule="auto"/>
        <w:ind w:right="-285"/>
      </w:pPr>
      <w:r>
        <w:t>Las barras de la armadura longitudinal se dispondrán de manera uniforme en el perímetro del pilote con un mínimo de seis (6).</w:t>
      </w:r>
    </w:p>
    <w:p w:rsidR="00C7085E" w:rsidRDefault="00C7085E" w:rsidP="00B71B1A">
      <w:pPr>
        <w:spacing w:before="120" w:after="240" w:line="276" w:lineRule="auto"/>
        <w:ind w:right="-285"/>
      </w:pPr>
      <w:r>
        <w:t>La armadura transversal se dispondrá de manera helicoidal y sujetará en su posición a la armadura longitudinal. En cualquier caso, serán de una sola pieza o el empalme, cuando sea necesario, se hará mediante soldadura.</w:t>
      </w:r>
    </w:p>
    <w:p w:rsidR="00C7085E" w:rsidRDefault="00C7085E" w:rsidP="00B71B1A">
      <w:pPr>
        <w:spacing w:before="120" w:after="240" w:line="276" w:lineRule="auto"/>
        <w:ind w:right="-285"/>
      </w:pPr>
      <w:r>
        <w:t>El recubrimiento de las armaduras será superior a dos centímetros y medio (2,5 cm).</w:t>
      </w:r>
    </w:p>
    <w:p w:rsidR="00C7085E" w:rsidRDefault="00C7085E" w:rsidP="00B71B1A">
      <w:pPr>
        <w:spacing w:before="120" w:after="240" w:line="276" w:lineRule="auto"/>
        <w:ind w:right="-285"/>
      </w:pPr>
      <w:r>
        <w:t xml:space="preserve">La armadura longitudinal tendrá una cuantía respecto al área de la sección transversal del pilote no menor de un con veinticinco por ciento (1,25%) y el diámetro de las barras empleadas no será menor de doce milímetros (12 mm). </w:t>
      </w:r>
    </w:p>
    <w:p w:rsidR="00C7085E" w:rsidRDefault="00C7085E" w:rsidP="00B71B1A">
      <w:pPr>
        <w:spacing w:before="120" w:after="240" w:line="276" w:lineRule="auto"/>
        <w:ind w:right="-285"/>
      </w:pPr>
      <w:r>
        <w:t>La armadura transversal tendrá una cuantía no menor del cero con dos por ciento (0,2%), respecto al volumen del pilote, en toda su longitud y el diámetro de las barras empleadas no será menor de seis milímetros (6 mm). En punta y cabeza y en una longitud no menor de tres diámetros (3</w:t>
      </w:r>
      <w:r>
        <w:rPr>
          <w:rFonts w:ascii="Symbol" w:hAnsi="Symbol"/>
        </w:rPr>
        <w:t></w:t>
      </w:r>
      <w:r>
        <w:t>), se duplicará dicha cuantía.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Para la ejecución de los pilotes prefabricados de hormigón se cumplirán las especificaciones constructivas recogidas con relación a este tipo de pilotes en la UNE-EN 12699.</w:t>
      </w:r>
    </w:p>
    <w:p w:rsidR="00C7085E" w:rsidRDefault="00C7085E" w:rsidP="00B71B1A">
      <w:pPr>
        <w:spacing w:before="120" w:after="240" w:line="276" w:lineRule="auto"/>
        <w:ind w:right="-285"/>
      </w:pPr>
      <w:r>
        <w:t>De cada pilote colocado, se realizará un parte en el que constará la siguiente información:</w:t>
      </w:r>
    </w:p>
    <w:p w:rsidR="00C7085E" w:rsidRDefault="00C7085E" w:rsidP="00B71B1A">
      <w:pPr>
        <w:widowControl/>
        <w:numPr>
          <w:ilvl w:val="0"/>
          <w:numId w:val="12"/>
        </w:numPr>
        <w:suppressAutoHyphens/>
        <w:spacing w:before="120" w:after="240" w:line="276" w:lineRule="auto"/>
        <w:ind w:left="714" w:right="-285" w:hanging="357"/>
      </w:pPr>
      <w:r>
        <w:t>Fecha de hincado</w:t>
      </w:r>
    </w:p>
    <w:p w:rsidR="00C7085E" w:rsidRDefault="00C7085E" w:rsidP="00B71B1A">
      <w:pPr>
        <w:widowControl/>
        <w:numPr>
          <w:ilvl w:val="0"/>
          <w:numId w:val="12"/>
        </w:numPr>
        <w:suppressAutoHyphens/>
        <w:spacing w:before="120" w:after="240" w:line="276" w:lineRule="auto"/>
        <w:ind w:left="714" w:right="-285" w:hanging="357"/>
      </w:pPr>
      <w:r>
        <w:t>Diámetro</w:t>
      </w:r>
    </w:p>
    <w:p w:rsidR="00C7085E" w:rsidRDefault="00C7085E" w:rsidP="00B71B1A">
      <w:pPr>
        <w:widowControl/>
        <w:numPr>
          <w:ilvl w:val="0"/>
          <w:numId w:val="12"/>
        </w:numPr>
        <w:suppressAutoHyphens/>
        <w:spacing w:before="120" w:after="240" w:line="276" w:lineRule="auto"/>
        <w:ind w:left="714" w:right="-285" w:hanging="357"/>
      </w:pPr>
      <w:r>
        <w:t>Longitud enterrada</w:t>
      </w:r>
    </w:p>
    <w:p w:rsidR="00C7085E" w:rsidRDefault="00C7085E" w:rsidP="00B71B1A">
      <w:pPr>
        <w:widowControl/>
        <w:numPr>
          <w:ilvl w:val="0"/>
          <w:numId w:val="12"/>
        </w:numPr>
        <w:suppressAutoHyphens/>
        <w:spacing w:before="120" w:after="240" w:line="276" w:lineRule="auto"/>
        <w:ind w:left="714" w:right="-285" w:hanging="357"/>
      </w:pPr>
      <w:r>
        <w:t>Altura de descabezado</w:t>
      </w:r>
    </w:p>
    <w:p w:rsidR="00C7085E" w:rsidRDefault="00C7085E" w:rsidP="00B71B1A">
      <w:pPr>
        <w:widowControl/>
        <w:numPr>
          <w:ilvl w:val="0"/>
          <w:numId w:val="12"/>
        </w:numPr>
        <w:suppressAutoHyphens/>
        <w:spacing w:before="120" w:after="240" w:line="276" w:lineRule="auto"/>
        <w:ind w:left="714" w:right="-285" w:hanging="357"/>
      </w:pPr>
      <w:r>
        <w:t>Incidentes producidos durante la ejecución</w:t>
      </w:r>
    </w:p>
    <w:p w:rsidR="00C7085E" w:rsidRDefault="00C7085E" w:rsidP="00B71B1A">
      <w:pPr>
        <w:widowControl/>
        <w:numPr>
          <w:ilvl w:val="0"/>
          <w:numId w:val="12"/>
        </w:numPr>
        <w:suppressAutoHyphens/>
        <w:spacing w:before="120" w:after="240" w:line="276" w:lineRule="auto"/>
        <w:ind w:left="714" w:right="-285" w:hanging="357"/>
      </w:pPr>
      <w:r>
        <w:t>En su caso, empotramiento logrado en punta y el rechazo obtenido en tres andanadas consecutivas de diez golpes.</w:t>
      </w:r>
    </w:p>
    <w:p w:rsidR="00C7085E" w:rsidRDefault="00C7085E" w:rsidP="00B71B1A">
      <w:pPr>
        <w:spacing w:before="120" w:after="240" w:line="276" w:lineRule="auto"/>
        <w:ind w:right="-285"/>
      </w:pPr>
      <w:r>
        <w:t>Los pilotes se izarán suspendidos de forma que la carga sea estable y segura, suspendiéndose los trabajos cuando exista viento con una velocidad superior a cincuenta kilómetros por hora (50 Km/h).</w:t>
      </w:r>
    </w:p>
    <w:p w:rsidR="00C7085E" w:rsidRDefault="00C7085E" w:rsidP="00B71B1A">
      <w:pPr>
        <w:spacing w:before="120" w:after="240" w:line="276" w:lineRule="auto"/>
        <w:ind w:right="-285"/>
      </w:pPr>
      <w:r>
        <w:t>El Adjudicatario deberá acotar las áreas de trabajo, de manera que no se produzca el paso de personas bajo cargas suspendidas.</w:t>
      </w:r>
    </w:p>
    <w:p w:rsidR="00C7085E" w:rsidRDefault="00C7085E" w:rsidP="00B71B1A">
      <w:pPr>
        <w:spacing w:before="120" w:after="240" w:line="276" w:lineRule="auto"/>
        <w:ind w:right="-285"/>
      </w:pPr>
      <w:r>
        <w:lastRenderedPageBreak/>
        <w:t>Diariamente se revisará el estado de la maquinaria antes de comenzar los trabajos.</w:t>
      </w:r>
    </w:p>
    <w:p w:rsidR="009A5015" w:rsidRDefault="00C7085E" w:rsidP="00DF30E5">
      <w:pPr>
        <w:spacing w:before="120" w:after="240" w:line="276" w:lineRule="auto"/>
        <w:ind w:right="-285"/>
        <w:rPr>
          <w:b/>
          <w:bCs/>
          <w:szCs w:val="28"/>
        </w:rPr>
      </w:pPr>
      <w:r>
        <w:t>Las operaciones de guía del pilote serán realizadas mediante elementos auxiliares que permitan el alejamiento de los trabajadores del mismo, en el momento de la hinca.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los materiales</w:t>
      </w:r>
    </w:p>
    <w:p w:rsidR="00C7085E" w:rsidRDefault="00C7085E" w:rsidP="00B71B1A">
      <w:pPr>
        <w:spacing w:before="120" w:after="240" w:line="276" w:lineRule="auto"/>
        <w:ind w:right="-285"/>
      </w:pPr>
      <w:r>
        <w:t>Para el control de la producción en fábrica se aplicará el apartado 6.3 de la UNE-EN 13369: “</w:t>
      </w:r>
      <w:r>
        <w:rPr>
          <w:i/>
        </w:rPr>
        <w:t>Reglas comunes para productos prefabricados de hormigón</w:t>
      </w:r>
      <w:r>
        <w:t>”.</w:t>
      </w:r>
    </w:p>
    <w:p w:rsidR="00C7085E" w:rsidRDefault="00C7085E" w:rsidP="00B71B1A">
      <w:pPr>
        <w:spacing w:before="120" w:after="240" w:line="276" w:lineRule="auto"/>
        <w:ind w:right="-285"/>
      </w:pPr>
      <w:r>
        <w:t>El Adjudicatario deberá garantizar, mediante certificado emitido por el fabricante, la resistencia estructural de los pilotes.</w:t>
      </w:r>
    </w:p>
    <w:p w:rsidR="00C7085E" w:rsidRDefault="00C7085E" w:rsidP="00B71B1A">
      <w:pPr>
        <w:spacing w:before="120" w:after="240" w:line="276" w:lineRule="auto"/>
        <w:ind w:right="-285"/>
      </w:pPr>
      <w:r>
        <w:t>Se deberán marcar o etiquetar cerca de su cabeza todos los pilotes. El Adjudicatario deberá proporcionar un manual en el que, entre otras cosas, se describa el significado de este marcado y se proporcionen las instrucciones de manipulación del pilote durante su transporte, almacenamiento y elevación en obra.</w:t>
      </w:r>
    </w:p>
    <w:p w:rsidR="00C7085E" w:rsidRDefault="00C7085E" w:rsidP="00B71B1A">
      <w:pPr>
        <w:spacing w:before="120" w:after="240" w:line="276" w:lineRule="auto"/>
        <w:ind w:right="-285"/>
        <w:rPr>
          <w:u w:val="single"/>
        </w:rPr>
      </w:pPr>
      <w:r>
        <w:rPr>
          <w:u w:val="single"/>
        </w:rPr>
        <w:t>Control de la ejecución</w:t>
      </w:r>
    </w:p>
    <w:p w:rsidR="00C7085E" w:rsidRDefault="00C7085E" w:rsidP="00B71B1A">
      <w:pPr>
        <w:spacing w:before="120" w:after="240" w:line="276" w:lineRule="auto"/>
        <w:ind w:right="-285"/>
      </w:pPr>
      <w:r>
        <w:t>Se controlarán los efectos de la ejecución de los pilotes en la proximidad de obras sensibles o de taludes potencialmente inestables mediante la medición de vibraciones, de presiones intersticiales, de vibraciones y de la inclinación.</w:t>
      </w:r>
    </w:p>
    <w:p w:rsidR="00C7085E" w:rsidRDefault="00C7085E" w:rsidP="00B71B1A">
      <w:pPr>
        <w:spacing w:before="120" w:after="240" w:line="276" w:lineRule="auto"/>
        <w:ind w:right="-285"/>
      </w:pPr>
      <w:r>
        <w:t>De forma general se deberá reseñar:</w:t>
      </w:r>
    </w:p>
    <w:p w:rsidR="00C7085E" w:rsidRDefault="00C7085E" w:rsidP="00B71B1A">
      <w:pPr>
        <w:widowControl/>
        <w:numPr>
          <w:ilvl w:val="0"/>
          <w:numId w:val="12"/>
        </w:numPr>
        <w:suppressAutoHyphens/>
        <w:spacing w:before="120" w:after="240" w:line="276" w:lineRule="auto"/>
        <w:ind w:left="714" w:right="-285" w:hanging="357"/>
      </w:pPr>
      <w:r>
        <w:t>Sobre las mazas: altura de caída del pistón y su peso o la energía de golpeo, así como el número de golpes de la maza por unidad de penetración.</w:t>
      </w:r>
    </w:p>
    <w:p w:rsidR="00C7085E" w:rsidRDefault="00C7085E" w:rsidP="00B71B1A">
      <w:pPr>
        <w:widowControl/>
        <w:numPr>
          <w:ilvl w:val="0"/>
          <w:numId w:val="12"/>
        </w:numPr>
        <w:suppressAutoHyphens/>
        <w:spacing w:before="120" w:after="240" w:line="276" w:lineRule="auto"/>
        <w:ind w:left="714" w:right="-285" w:hanging="357"/>
      </w:pPr>
      <w:r>
        <w:t>Sobre los pilotes hincados por vibración: potencia nominal, la amplitud, la frecuencia y la velocidad de penetración.</w:t>
      </w:r>
    </w:p>
    <w:p w:rsidR="00C7085E" w:rsidRDefault="00C7085E" w:rsidP="00B71B1A">
      <w:pPr>
        <w:widowControl/>
        <w:numPr>
          <w:ilvl w:val="0"/>
          <w:numId w:val="12"/>
        </w:numPr>
        <w:suppressAutoHyphens/>
        <w:spacing w:before="120" w:after="240" w:line="276" w:lineRule="auto"/>
        <w:ind w:left="714" w:right="-285" w:hanging="357"/>
      </w:pPr>
      <w:r>
        <w:t>Sobre los pilotes hincados por presión: la fuerza aplicada al pilote.</w:t>
      </w:r>
    </w:p>
    <w:p w:rsidR="00C7085E" w:rsidRDefault="00C7085E" w:rsidP="00B71B1A">
      <w:pPr>
        <w:widowControl/>
        <w:numPr>
          <w:ilvl w:val="0"/>
          <w:numId w:val="12"/>
        </w:numPr>
        <w:suppressAutoHyphens/>
        <w:spacing w:before="120" w:after="240" w:line="276" w:lineRule="auto"/>
        <w:ind w:left="714" w:right="-285" w:hanging="357"/>
      </w:pPr>
      <w:r>
        <w:t>Cuando los pilotes se hinquen hasta rechazo, se debe medir la energía y avance.</w:t>
      </w:r>
    </w:p>
    <w:p w:rsidR="00C7085E" w:rsidRDefault="00C7085E" w:rsidP="00B71B1A">
      <w:pPr>
        <w:keepNext/>
        <w:spacing w:before="120" w:after="240" w:line="276" w:lineRule="auto"/>
        <w:ind w:right="-285"/>
        <w:rPr>
          <w:u w:val="single"/>
        </w:rPr>
      </w:pPr>
      <w:r>
        <w:rPr>
          <w:u w:val="single"/>
        </w:rPr>
        <w:t>Tolerancias</w:t>
      </w:r>
    </w:p>
    <w:p w:rsidR="00C7085E" w:rsidRDefault="00C7085E" w:rsidP="00B71B1A">
      <w:pPr>
        <w:keepNext/>
        <w:spacing w:before="120" w:after="240" w:line="276" w:lineRule="auto"/>
        <w:ind w:right="-285"/>
      </w:pPr>
      <w:r>
        <w:t xml:space="preserve">Los pilotes se hincarán con los siguientes rangos de tolerancias: </w:t>
      </w:r>
    </w:p>
    <w:p w:rsidR="00C7085E" w:rsidRDefault="00C7085E" w:rsidP="00B71B1A">
      <w:pPr>
        <w:widowControl/>
        <w:numPr>
          <w:ilvl w:val="0"/>
          <w:numId w:val="17"/>
        </w:numPr>
        <w:suppressAutoHyphens/>
        <w:spacing w:before="120" w:after="240" w:line="276" w:lineRule="auto"/>
        <w:ind w:left="714" w:right="-285" w:hanging="357"/>
      </w:pPr>
      <w:r>
        <w:t>La posición en planta de los pilotes respecto a la posición teórica no diferirá en más de cinco centímetros (5 cm) o el quince por ciento (15%) del diámetro, el mayor de ambos valores, para los grupos inferiores a tres (3) pilotes conjuntamente encepados y en más de quince centímetros (15 cm) para los grupos de tres (3) o más pilotes.</w:t>
      </w:r>
    </w:p>
    <w:p w:rsidR="00C7085E" w:rsidRDefault="00C7085E" w:rsidP="00B71B1A">
      <w:pPr>
        <w:widowControl/>
        <w:numPr>
          <w:ilvl w:val="0"/>
          <w:numId w:val="17"/>
        </w:numPr>
        <w:suppressAutoHyphens/>
        <w:spacing w:before="120" w:after="240" w:line="276" w:lineRule="auto"/>
        <w:ind w:left="714" w:right="-285" w:hanging="357"/>
      </w:pPr>
      <w:r>
        <w:t>Una inclinación, tal que la desviación de un extremo, respecto de la prevista, sea inferior al tres por ciento (3%) de la longitud del pilote.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Medición y abono</w:t>
      </w:r>
    </w:p>
    <w:p w:rsidR="00C7085E" w:rsidRDefault="00C7085E" w:rsidP="00B71B1A">
      <w:pPr>
        <w:spacing w:before="120" w:after="240" w:line="276" w:lineRule="auto"/>
        <w:ind w:right="-285"/>
      </w:pPr>
      <w:r>
        <w:t>Las cimentaciones por pilotes prefabricados se abonarán por metros (m) de pilote realmente colocado, medidos en el terreno como suma de las longitudes de cada uno de ellos, desde la punta hasta la cara inferior del encepado.</w:t>
      </w:r>
    </w:p>
    <w:p w:rsidR="00C7085E" w:rsidRDefault="00C7085E" w:rsidP="00B71B1A">
      <w:pPr>
        <w:spacing w:before="120" w:after="240" w:line="276" w:lineRule="auto"/>
        <w:ind w:right="-285"/>
      </w:pPr>
      <w:r>
        <w:t>El precio al que se abonará cada pilote será el que corresponda a su diámetro y carga máxima, aplicando el precio correspondiente de los que figuren en el Cuadro de Precios vigente de Canal de Isabel II Gestión.</w:t>
      </w:r>
    </w:p>
    <w:p w:rsidR="00C7085E" w:rsidRDefault="00C7085E" w:rsidP="00B71B1A">
      <w:pPr>
        <w:spacing w:before="120" w:after="240" w:line="276" w:lineRule="auto"/>
        <w:ind w:right="-285"/>
      </w:pPr>
      <w:r>
        <w:t>En el precio se consideran incluidos el suministro y puesta en obra de los pilotes, la parte proporcional de transporte, instalación, almohadillas, paradas montaje y desmontaje de equipos mecánicos y todas las operaciones necesarias para dejar el pilote totalmente terminado.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43" w:name="_Toc414021781"/>
      <w:bookmarkStart w:id="144" w:name="_Toc448741403"/>
      <w:r>
        <w:t>Micropilotes</w:t>
      </w:r>
      <w:bookmarkEnd w:id="143"/>
      <w:bookmarkEnd w:id="144"/>
    </w:p>
    <w:p w:rsidR="00C7085E" w:rsidRDefault="00C7085E" w:rsidP="00B71B1A">
      <w:pPr>
        <w:keepNext/>
        <w:keepLines/>
        <w:spacing w:before="120" w:after="240" w:line="276" w:lineRule="auto"/>
        <w:ind w:right="-285"/>
      </w:pPr>
      <w:r>
        <w:t>Este artículo hace referencia a los micropilotes cilíndricos, de diámetro inferior a trescientos milímetros (300 mm), perforados en el terreno, armados con tubería de acero reforzada a veces con una o varias barras corrugadas, e inyectado con lechada o mortero de cemento en una o varias fases.</w:t>
      </w:r>
    </w:p>
    <w:p w:rsidR="00C7085E" w:rsidRDefault="00C7085E" w:rsidP="00B71B1A">
      <w:pPr>
        <w:spacing w:before="120" w:after="240" w:line="276" w:lineRule="auto"/>
        <w:ind w:right="-285"/>
      </w:pPr>
      <w:r>
        <w:t>En el diseño y ejecución de micropilotes se seguirán las prescripciones establecidas en la norma UNE-EN 14199: “</w:t>
      </w:r>
      <w:r>
        <w:rPr>
          <w:i/>
        </w:rPr>
        <w:t>Ejecución de trabajos especiales. Micropilotes”</w:t>
      </w:r>
      <w:r>
        <w:t xml:space="preserve"> y en la “</w:t>
      </w:r>
      <w:r>
        <w:rPr>
          <w:i/>
        </w:rPr>
        <w:t>Guía para el proyecto y la ejecución de micropilotes en obras de carreteras</w:t>
      </w:r>
      <w:r>
        <w:t>”, publicado por el Ministerio de Fomento.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widowControl/>
        <w:numPr>
          <w:ilvl w:val="0"/>
          <w:numId w:val="12"/>
        </w:numPr>
        <w:spacing w:before="120" w:after="240" w:line="276" w:lineRule="auto"/>
        <w:ind w:right="-285"/>
      </w:pPr>
      <w:r>
        <w:t>Armaduras</w:t>
      </w:r>
    </w:p>
    <w:p w:rsidR="00C7085E" w:rsidRDefault="00C7085E" w:rsidP="00B71B1A">
      <w:pPr>
        <w:spacing w:before="120" w:after="240" w:line="276" w:lineRule="auto"/>
        <w:ind w:right="-285"/>
      </w:pPr>
      <w:r>
        <w:t>Estará constituida por un tubo de acero estructural, pudiendo completarse por una o o varias barras corrugadas de acero situadas en su eje, o dispuestas en torno al mismo.</w:t>
      </w:r>
    </w:p>
    <w:p w:rsidR="00C7085E" w:rsidRDefault="00C7085E" w:rsidP="00B71B1A">
      <w:pPr>
        <w:spacing w:before="120" w:after="240" w:line="276" w:lineRule="auto"/>
        <w:ind w:right="-285"/>
      </w:pPr>
      <w:r>
        <w:t>Según el proceso de fabricación empleado, la armadura tubular deberá cumplir lo especificado en una de las dos normas siguientes:</w:t>
      </w:r>
    </w:p>
    <w:tbl>
      <w:tblPr>
        <w:tblStyle w:val="Tablaconcuadrcula"/>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408"/>
      </w:tblGrid>
      <w:tr w:rsidR="00C7085E" w:rsidTr="00C7085E">
        <w:tc>
          <w:tcPr>
            <w:tcW w:w="1985" w:type="dxa"/>
            <w:hideMark/>
          </w:tcPr>
          <w:p w:rsidR="00C7085E" w:rsidRDefault="00C7085E" w:rsidP="00B71B1A">
            <w:pPr>
              <w:keepNext/>
              <w:spacing w:before="120" w:after="240" w:line="276" w:lineRule="auto"/>
              <w:ind w:right="-285"/>
            </w:pPr>
            <w:r>
              <w:rPr>
                <w:rFonts w:cs="Arial"/>
                <w:szCs w:val="22"/>
              </w:rPr>
              <w:t xml:space="preserve">UNE-EN </w:t>
            </w:r>
            <w:r>
              <w:rPr>
                <w:rFonts w:cs="Arial"/>
                <w:color w:val="000000"/>
                <w:szCs w:val="22"/>
              </w:rPr>
              <w:t xml:space="preserve"> 10210:</w:t>
            </w:r>
          </w:p>
        </w:tc>
        <w:tc>
          <w:tcPr>
            <w:tcW w:w="6408" w:type="dxa"/>
            <w:hideMark/>
          </w:tcPr>
          <w:p w:rsidR="00C7085E" w:rsidRDefault="00C7085E" w:rsidP="00B71B1A">
            <w:pPr>
              <w:keepNext/>
              <w:spacing w:before="120" w:after="240" w:line="276" w:lineRule="auto"/>
              <w:ind w:right="-285"/>
              <w:rPr>
                <w:rFonts w:cs="Arial"/>
                <w:i/>
                <w:szCs w:val="22"/>
              </w:rPr>
            </w:pPr>
            <w:r>
              <w:rPr>
                <w:rFonts w:cs="Arial"/>
                <w:color w:val="000000"/>
                <w:szCs w:val="22"/>
              </w:rPr>
              <w:t>“</w:t>
            </w:r>
            <w:r>
              <w:rPr>
                <w:rFonts w:cs="Arial"/>
                <w:i/>
                <w:color w:val="000000"/>
                <w:szCs w:val="22"/>
              </w:rPr>
              <w:t>Perfiles huecos para construcción, acabados en caliente, de acero no aleado y de grano fino”.</w:t>
            </w:r>
          </w:p>
        </w:tc>
      </w:tr>
      <w:tr w:rsidR="00C7085E" w:rsidTr="00C7085E">
        <w:tc>
          <w:tcPr>
            <w:tcW w:w="1985" w:type="dxa"/>
            <w:hideMark/>
          </w:tcPr>
          <w:p w:rsidR="00C7085E" w:rsidRDefault="00C7085E" w:rsidP="00B71B1A">
            <w:pPr>
              <w:keepNext/>
              <w:keepLines/>
              <w:spacing w:before="120" w:after="240" w:line="276" w:lineRule="auto"/>
              <w:ind w:right="-285"/>
            </w:pPr>
            <w:r>
              <w:rPr>
                <w:rFonts w:cs="Arial"/>
                <w:szCs w:val="22"/>
              </w:rPr>
              <w:t>UNE-EN  10219:</w:t>
            </w:r>
          </w:p>
        </w:tc>
        <w:tc>
          <w:tcPr>
            <w:tcW w:w="6408" w:type="dxa"/>
            <w:hideMark/>
          </w:tcPr>
          <w:p w:rsidR="00C7085E" w:rsidRDefault="00C7085E" w:rsidP="00B71B1A">
            <w:pPr>
              <w:keepNext/>
              <w:keepLines/>
              <w:spacing w:before="120" w:after="240" w:line="276" w:lineRule="auto"/>
              <w:ind w:right="-285"/>
              <w:rPr>
                <w:rFonts w:cs="Arial"/>
                <w:i/>
                <w:color w:val="000000"/>
                <w:szCs w:val="22"/>
              </w:rPr>
            </w:pPr>
            <w:r>
              <w:rPr>
                <w:rFonts w:cs="Arial"/>
                <w:i/>
                <w:color w:val="000000"/>
                <w:szCs w:val="22"/>
              </w:rPr>
              <w:t>“Perfiles huecos para construcción, conformados en frío, de acero no aleado y de grano fino”.</w:t>
            </w:r>
          </w:p>
        </w:tc>
      </w:tr>
    </w:tbl>
    <w:p w:rsidR="00C7085E" w:rsidRDefault="00C7085E" w:rsidP="00B71B1A">
      <w:pPr>
        <w:widowControl/>
        <w:numPr>
          <w:ilvl w:val="0"/>
          <w:numId w:val="12"/>
        </w:numPr>
        <w:spacing w:before="120" w:after="240" w:line="276" w:lineRule="auto"/>
        <w:ind w:right="-285"/>
        <w:rPr>
          <w:lang w:val="es-ES_tradnl" w:eastAsia="es-ES_tradnl"/>
        </w:rPr>
      </w:pPr>
      <w:r>
        <w:t>Lechadas y morteros de cemento</w:t>
      </w:r>
    </w:p>
    <w:p w:rsidR="00C7085E" w:rsidRDefault="00C7085E" w:rsidP="00B71B1A">
      <w:pPr>
        <w:spacing w:before="120" w:after="240" w:line="276" w:lineRule="auto"/>
        <w:ind w:right="-285"/>
      </w:pPr>
      <w:r>
        <w:t xml:space="preserve">El cemento para la fabricación de lechadas y morteros cumplirá las especificaciones de la Instrucción para la Recepción de Cementos (RC-08) y de la Instrucción de Hormigón </w:t>
      </w:r>
      <w:r>
        <w:lastRenderedPageBreak/>
        <w:t>Estructural (EHE).</w:t>
      </w:r>
    </w:p>
    <w:p w:rsidR="00C7085E" w:rsidRDefault="00C7085E" w:rsidP="00B71B1A">
      <w:pPr>
        <w:spacing w:before="120" w:after="240" w:line="276" w:lineRule="auto"/>
        <w:ind w:right="-285"/>
      </w:pPr>
      <w:r>
        <w:t>Los cementos a utilizar serán los especificados en la RC-08 para cimentaciones de hormigón armado y su clase resistente será como mínimo 42,5N. Además deberán cumplir las prescripciones específicas para ser resistente a los sulfatos (SR).</w:t>
      </w:r>
    </w:p>
    <w:p w:rsidR="00C7085E" w:rsidRDefault="00C7085E" w:rsidP="00B71B1A">
      <w:pPr>
        <w:spacing w:before="120" w:after="240" w:line="276" w:lineRule="auto"/>
        <w:ind w:right="-285"/>
      </w:pPr>
      <w:r>
        <w:t>La resistencia característica a compresión de la lechada a utilizar en micropilotes deberá cumplir lo siguiente:</w:t>
      </w:r>
    </w:p>
    <w:p w:rsidR="00C7085E" w:rsidRDefault="00C7085E" w:rsidP="00B71B1A">
      <w:pPr>
        <w:pStyle w:val="Prrafodelista"/>
        <w:keepNext/>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A veintiocho días de edad (28 d) será igual o superior a veinticinco megapascales (f</w:t>
      </w:r>
      <w:r>
        <w:rPr>
          <w:rFonts w:ascii="Arial" w:hAnsi="Arial" w:cs="Arial"/>
          <w:vertAlign w:val="subscript"/>
        </w:rPr>
        <w:t>ck</w:t>
      </w:r>
      <w:r>
        <w:rPr>
          <w:rFonts w:ascii="Arial" w:hAnsi="Arial" w:cs="Arial"/>
        </w:rPr>
        <w:t>≥ 25 MPa).</w:t>
      </w:r>
    </w:p>
    <w:p w:rsidR="00C7085E" w:rsidRDefault="00C7085E" w:rsidP="00B71B1A">
      <w:pPr>
        <w:pStyle w:val="Prrafodelista"/>
        <w:keepNext/>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A siete días de edad (7 d) será igual o superior que el sesenta por ciento de la requerida a veintiocho días (f</w:t>
      </w:r>
      <w:r>
        <w:rPr>
          <w:rFonts w:ascii="Arial" w:hAnsi="Arial" w:cs="Arial"/>
          <w:vertAlign w:val="subscript"/>
        </w:rPr>
        <w:t>ck</w:t>
      </w:r>
      <w:proofErr w:type="gramStart"/>
      <w:r>
        <w:rPr>
          <w:rFonts w:ascii="Arial" w:hAnsi="Arial" w:cs="Arial"/>
          <w:vertAlign w:val="subscript"/>
        </w:rPr>
        <w:t>,7</w:t>
      </w:r>
      <w:proofErr w:type="gramEnd"/>
      <w:r>
        <w:rPr>
          <w:rFonts w:ascii="Arial" w:hAnsi="Arial" w:cs="Arial"/>
        </w:rPr>
        <w:t xml:space="preserve"> ≥ 0,6 f</w:t>
      </w:r>
      <w:r>
        <w:rPr>
          <w:rFonts w:ascii="Arial" w:hAnsi="Arial" w:cs="Arial"/>
          <w:vertAlign w:val="subscript"/>
        </w:rPr>
        <w:t>ck</w:t>
      </w:r>
      <w:r>
        <w:rPr>
          <w:rFonts w:ascii="Arial" w:hAnsi="Arial" w:cs="Arial"/>
        </w:rPr>
        <w:t>).</w:t>
      </w:r>
    </w:p>
    <w:p w:rsidR="00C7085E" w:rsidRDefault="00C7085E" w:rsidP="00B71B1A">
      <w:pPr>
        <w:spacing w:before="120" w:after="240" w:line="276" w:lineRule="auto"/>
        <w:ind w:right="-285"/>
      </w:pPr>
      <w:r>
        <w:t>Las lechadas de cemento deberán presentar alta resistencia y estabilidad y ser fácilmente bombeables.</w:t>
      </w:r>
    </w:p>
    <w:p w:rsidR="00C7085E" w:rsidRDefault="00C7085E" w:rsidP="00B71B1A">
      <w:pPr>
        <w:spacing w:before="120" w:after="240" w:line="276" w:lineRule="auto"/>
        <w:ind w:right="-285"/>
      </w:pPr>
      <w:r>
        <w:t>La relación agua/cemento, en peso, deberá mantenerse entre cuarenta y cincuenta y cinco centésimas (0,40</w:t>
      </w:r>
      <w:r>
        <w:rPr>
          <w:rFonts w:cs="Arial"/>
        </w:rPr>
        <w:t xml:space="preserve">≤ </w:t>
      </w:r>
      <w:r>
        <w:t xml:space="preserve">a/c </w:t>
      </w:r>
      <w:r>
        <w:rPr>
          <w:rFonts w:cs="Arial"/>
        </w:rPr>
        <w:t>≤</w:t>
      </w:r>
      <w:r>
        <w:t>0,55). En el caso de que sea necesario recurrir a lechadas con relaciones agua/cemento inferiores a las cuarenta milésimas (a/c &lt;0,40), se agregaran aditivos a las mismas para que puedan bombearse de forma adecuada.</w:t>
      </w:r>
    </w:p>
    <w:p w:rsidR="00C7085E" w:rsidRDefault="00C7085E" w:rsidP="00B71B1A">
      <w:pPr>
        <w:spacing w:before="120" w:after="240" w:line="276" w:lineRule="auto"/>
        <w:ind w:right="-285"/>
      </w:pPr>
      <w:r>
        <w:t>La exudación de la lechada será menor o igual que el tres por ciento (3%) en volumen, transcurridas dos horas desde la preparación de la mezcla.</w:t>
      </w:r>
    </w:p>
    <w:p w:rsidR="00C7085E" w:rsidRDefault="00C7085E" w:rsidP="00B71B1A">
      <w:pPr>
        <w:spacing w:before="120" w:after="240" w:line="276" w:lineRule="auto"/>
        <w:ind w:right="-285"/>
      </w:pPr>
      <w:r>
        <w:t>La resistencia característica a compresión a veintiocho días (28 d) de los morteros de cemento a utilizar en micropilotes, será igual o superior a veinticinco megapascales (f</w:t>
      </w:r>
      <w:r>
        <w:rPr>
          <w:vertAlign w:val="subscript"/>
        </w:rPr>
        <w:t>ck</w:t>
      </w:r>
      <w:r>
        <w:t>≥ 25 MPa).</w:t>
      </w:r>
    </w:p>
    <w:p w:rsidR="00C7085E" w:rsidRDefault="00C7085E" w:rsidP="00B71B1A">
      <w:pPr>
        <w:spacing w:before="120" w:after="240" w:line="276" w:lineRule="auto"/>
        <w:ind w:right="-285"/>
      </w:pPr>
      <w:r>
        <w:t>El contenido mínimo de cemento será de trescientos setenta y cinco kilogramos por metro cúbico (375 kg/m</w:t>
      </w:r>
      <w:r>
        <w:rPr>
          <w:vertAlign w:val="superscript"/>
        </w:rPr>
        <w:t>3</w:t>
      </w:r>
      <w:r>
        <w:t>), salvo especificación expresa del Proyecto.</w:t>
      </w:r>
    </w:p>
    <w:p w:rsidR="00C7085E" w:rsidRDefault="00C7085E" w:rsidP="00B71B1A">
      <w:pPr>
        <w:spacing w:before="120" w:after="240" w:line="276" w:lineRule="auto"/>
        <w:ind w:right="-285"/>
      </w:pPr>
      <w:r>
        <w:t>La relación agua/cemento, en peso, ser inferior a sesenta centésimas (a/c &lt;0,60) y la granulometría del árido deberá cumplir:</w:t>
      </w:r>
    </w:p>
    <w:p w:rsidR="00C7085E" w:rsidRDefault="00C7085E" w:rsidP="00B71B1A">
      <w:pPr>
        <w:pStyle w:val="Prrafodelista"/>
        <w:keepNext/>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D</w:t>
      </w:r>
      <w:r>
        <w:rPr>
          <w:rFonts w:ascii="Arial" w:hAnsi="Arial" w:cs="Arial"/>
          <w:vertAlign w:val="subscript"/>
        </w:rPr>
        <w:t xml:space="preserve">85 </w:t>
      </w:r>
      <w:r>
        <w:rPr>
          <w:rFonts w:ascii="Arial" w:hAnsi="Arial" w:cs="Arial"/>
        </w:rPr>
        <w:t xml:space="preserve"> ≤ 4 mm</w:t>
      </w:r>
    </w:p>
    <w:p w:rsidR="00C7085E" w:rsidRDefault="00C7085E" w:rsidP="00B71B1A">
      <w:pPr>
        <w:pStyle w:val="Prrafodelista"/>
        <w:keepNext/>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D</w:t>
      </w:r>
      <w:r>
        <w:rPr>
          <w:rFonts w:ascii="Arial" w:hAnsi="Arial" w:cs="Arial"/>
          <w:vertAlign w:val="subscript"/>
        </w:rPr>
        <w:t>100</w:t>
      </w:r>
      <w:r>
        <w:rPr>
          <w:rFonts w:ascii="Arial" w:hAnsi="Arial" w:cs="Arial"/>
        </w:rPr>
        <w:t xml:space="preserve"> ≤ 8 mm</w:t>
      </w:r>
    </w:p>
    <w:p w:rsidR="00C7085E" w:rsidRDefault="00C7085E" w:rsidP="00B71B1A">
      <w:pPr>
        <w:spacing w:before="120" w:after="240" w:line="276" w:lineRule="auto"/>
        <w:ind w:right="-285"/>
      </w:pPr>
      <w:r>
        <w:t>Donde D</w:t>
      </w:r>
      <w:r>
        <w:rPr>
          <w:vertAlign w:val="subscript"/>
        </w:rPr>
        <w:t>X</w:t>
      </w:r>
      <w:r>
        <w:t xml:space="preserve"> representa el tamiz por el que pasa el x% de la muestra.</w:t>
      </w:r>
    </w:p>
    <w:p w:rsidR="00C7085E" w:rsidRDefault="00C7085E" w:rsidP="00B71B1A">
      <w:pPr>
        <w:spacing w:before="120" w:after="240" w:line="276" w:lineRule="auto"/>
        <w:ind w:right="-285"/>
      </w:pPr>
      <w:r>
        <w:t>La arena de los morteros deberá cumplir las especificaciones de la EHE, estar limpia y seca, y normalmente no contener partículas que pasen por el tamiz 0,16 UNE. El uso de arenas rodadas mejora la inyectabilidad de la mezcla.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Antes de proceder a la ejecución de los micropilotes, el Adjudicatario deberá presentar un procedimiento constructivo que contenga como mínimo la información siguiente:</w:t>
      </w:r>
    </w:p>
    <w:p w:rsidR="00C7085E" w:rsidRDefault="00C7085E" w:rsidP="00B71B1A">
      <w:pPr>
        <w:widowControl/>
        <w:numPr>
          <w:ilvl w:val="0"/>
          <w:numId w:val="12"/>
        </w:numPr>
        <w:suppressAutoHyphens/>
        <w:spacing w:before="120" w:after="240" w:line="276" w:lineRule="auto"/>
        <w:ind w:left="714" w:right="-285" w:hanging="357"/>
      </w:pPr>
      <w:r>
        <w:lastRenderedPageBreak/>
        <w:t>Identificación, objetivo y alcance de los micropilotes.</w:t>
      </w:r>
    </w:p>
    <w:p w:rsidR="00C7085E" w:rsidRDefault="00C7085E" w:rsidP="00B71B1A">
      <w:pPr>
        <w:widowControl/>
        <w:numPr>
          <w:ilvl w:val="0"/>
          <w:numId w:val="12"/>
        </w:numPr>
        <w:suppressAutoHyphens/>
        <w:spacing w:before="120" w:after="240" w:line="276" w:lineRule="auto"/>
        <w:ind w:left="714" w:right="-285" w:hanging="357"/>
      </w:pPr>
      <w:r>
        <w:t>Características geotécnicas del emplazamiento.</w:t>
      </w:r>
    </w:p>
    <w:p w:rsidR="00C7085E" w:rsidRDefault="00C7085E" w:rsidP="00B71B1A">
      <w:pPr>
        <w:widowControl/>
        <w:numPr>
          <w:ilvl w:val="0"/>
          <w:numId w:val="12"/>
        </w:numPr>
        <w:suppressAutoHyphens/>
        <w:spacing w:before="120" w:after="240" w:line="276" w:lineRule="auto"/>
        <w:ind w:left="714" w:right="-285" w:hanging="357"/>
      </w:pPr>
      <w:r>
        <w:t>Aspectos medioambientales.</w:t>
      </w:r>
    </w:p>
    <w:p w:rsidR="00C7085E" w:rsidRDefault="00C7085E" w:rsidP="00B71B1A">
      <w:pPr>
        <w:widowControl/>
        <w:numPr>
          <w:ilvl w:val="0"/>
          <w:numId w:val="12"/>
        </w:numPr>
        <w:suppressAutoHyphens/>
        <w:spacing w:before="120" w:after="240" w:line="276" w:lineRule="auto"/>
        <w:ind w:left="714" w:right="-285" w:hanging="357"/>
      </w:pPr>
      <w:r>
        <w:t>Equipo y procedimiento de trabajo, especificando de modo expreso orden de ejecución y tiempo de espera a observar.</w:t>
      </w:r>
    </w:p>
    <w:p w:rsidR="00C7085E" w:rsidRDefault="00C7085E" w:rsidP="00B71B1A">
      <w:pPr>
        <w:widowControl/>
        <w:numPr>
          <w:ilvl w:val="0"/>
          <w:numId w:val="12"/>
        </w:numPr>
        <w:suppressAutoHyphens/>
        <w:spacing w:before="120" w:after="240" w:line="276" w:lineRule="auto"/>
        <w:ind w:left="714" w:right="-285" w:hanging="357"/>
      </w:pPr>
      <w:r>
        <w:t>Medidas para asegurar la exactitud de la perforación: parámetros de inyección, localización del lugar de ejecución y áreas de trabajo, gestión de residuos o desechos y procedimientos de control de calidad.</w:t>
      </w:r>
    </w:p>
    <w:p w:rsidR="00C7085E" w:rsidRDefault="00C7085E" w:rsidP="00B71B1A">
      <w:pPr>
        <w:spacing w:before="120" w:after="240" w:line="276" w:lineRule="auto"/>
        <w:ind w:right="-285"/>
      </w:pPr>
      <w:r>
        <w:t>La ejecución de un micropilote comprende la realización de las siguientes operaciones básicas:</w:t>
      </w:r>
    </w:p>
    <w:p w:rsidR="00C7085E" w:rsidRDefault="00C7085E" w:rsidP="00B71B1A">
      <w:pPr>
        <w:widowControl/>
        <w:numPr>
          <w:ilvl w:val="0"/>
          <w:numId w:val="12"/>
        </w:numPr>
        <w:suppressAutoHyphens/>
        <w:spacing w:before="120" w:after="240" w:line="276" w:lineRule="auto"/>
        <w:ind w:left="714" w:right="-285" w:hanging="357"/>
      </w:pPr>
      <w:r>
        <w:t>Perforación del taladro del micropilote</w:t>
      </w:r>
    </w:p>
    <w:p w:rsidR="00C7085E" w:rsidRDefault="00C7085E" w:rsidP="00B71B1A">
      <w:pPr>
        <w:widowControl/>
        <w:numPr>
          <w:ilvl w:val="0"/>
          <w:numId w:val="12"/>
        </w:numPr>
        <w:suppressAutoHyphens/>
        <w:spacing w:before="120" w:after="240" w:line="276" w:lineRule="auto"/>
        <w:ind w:left="714" w:right="-285" w:hanging="357"/>
      </w:pPr>
      <w:r>
        <w:t>Colocación de la armadura</w:t>
      </w:r>
    </w:p>
    <w:p w:rsidR="00C7085E" w:rsidRDefault="00C7085E" w:rsidP="00B71B1A">
      <w:pPr>
        <w:widowControl/>
        <w:numPr>
          <w:ilvl w:val="0"/>
          <w:numId w:val="12"/>
        </w:numPr>
        <w:suppressAutoHyphens/>
        <w:spacing w:before="120" w:after="240" w:line="276" w:lineRule="auto"/>
        <w:ind w:left="714" w:right="-285" w:hanging="357"/>
      </w:pPr>
      <w:r>
        <w:t>Inyección del micropilote</w:t>
      </w:r>
    </w:p>
    <w:p w:rsidR="00C7085E" w:rsidRDefault="00C7085E" w:rsidP="00B71B1A">
      <w:pPr>
        <w:widowControl/>
        <w:numPr>
          <w:ilvl w:val="0"/>
          <w:numId w:val="12"/>
        </w:numPr>
        <w:suppressAutoHyphens/>
        <w:spacing w:before="120" w:after="240" w:line="276" w:lineRule="auto"/>
        <w:ind w:left="714" w:right="-285" w:hanging="357"/>
      </w:pPr>
      <w:r>
        <w:t>Conexión con la estructura o con el resto de los micropilotes mediante un encepado, en caso necesario.</w:t>
      </w:r>
    </w:p>
    <w:p w:rsidR="00C7085E" w:rsidRDefault="00C7085E" w:rsidP="00B71B1A">
      <w:pPr>
        <w:spacing w:before="120" w:after="240" w:line="276" w:lineRule="auto"/>
        <w:ind w:right="-285"/>
      </w:pPr>
      <w:r>
        <w:t>Para realizar estas operaciones se dispondrá de una plataforma de trabajo con la superficie necesaria para ubicar tanto el material como los equipos. El gálibo debe ser adecuado a dichas necesidades.</w:t>
      </w:r>
    </w:p>
    <w:p w:rsidR="00C7085E" w:rsidRDefault="00C7085E" w:rsidP="00B71B1A">
      <w:pPr>
        <w:spacing w:before="120" w:after="240" w:line="276" w:lineRule="auto"/>
        <w:ind w:right="-285"/>
      </w:pPr>
      <w:r>
        <w:t>Las perforaciones se ejecutarán respetando las posiciones, diámetros, longitudes e inclinaciones, indicadas en los planos de Proyecto. El diámetro del taladro deberá garantizar el recubrimiento mínimo de la armadura tubular a lo largo de todo el micropilote.</w:t>
      </w:r>
    </w:p>
    <w:p w:rsidR="00C7085E" w:rsidRDefault="00C7085E" w:rsidP="00B71B1A">
      <w:pPr>
        <w:spacing w:before="120" w:after="240" w:line="276" w:lineRule="auto"/>
        <w:ind w:right="-285"/>
      </w:pPr>
      <w:r>
        <w:t xml:space="preserve">El Adjudicatario propondrá a la Dirección de Obra el método de perforación a utilizar, teniendo en cuenta las características geotécnicas del suelo y las condiciones de la cimentación, de manera que resulte un taladro estable y con la sección transversal deseada en toda su longitud. </w:t>
      </w:r>
    </w:p>
    <w:p w:rsidR="00C7085E" w:rsidRDefault="00C7085E" w:rsidP="00B71B1A">
      <w:pPr>
        <w:spacing w:before="120" w:after="240" w:line="276" w:lineRule="auto"/>
        <w:ind w:right="-285"/>
      </w:pPr>
      <w:r>
        <w:t>Cuando pueda producirse un flujo incontrolado de agua y suelo al interior del taladro o cuando haya riesgo de colapso, se tomarán medidas especiales para mantener la estabilidad. En concreto, al atravesar niveles artesianos se podrán emplear diversos sistemas: inyección de la zona hasta conseguir taponar la afluencia de agua y se reperforación posterior; entubación perdida desde la superficie hasta la cota inferior del nivel artesiano; elevación de la plataforma de trabajo para contrarrestar la presión; sistema de cierre en la boca de taladro, etc.</w:t>
      </w:r>
    </w:p>
    <w:p w:rsidR="00C7085E" w:rsidRDefault="00C7085E" w:rsidP="00B71B1A">
      <w:pPr>
        <w:spacing w:before="120" w:after="240" w:line="276" w:lineRule="auto"/>
        <w:ind w:right="-285"/>
      </w:pPr>
      <w:r>
        <w:t xml:space="preserve">Finalizada la perforación del taladro se procederá, a la mayor brevedad posible, a la colocación de la armadura tubular, comprobando previamente que toda la longitud está libre </w:t>
      </w:r>
      <w:r>
        <w:lastRenderedPageBreak/>
        <w:t>de obstáculos y limpia de incrustantes, o de cualquier material o cuerpo extraño.</w:t>
      </w:r>
    </w:p>
    <w:p w:rsidR="00C7085E" w:rsidRDefault="00C7085E" w:rsidP="00B71B1A">
      <w:pPr>
        <w:spacing w:before="120" w:after="240" w:line="276" w:lineRule="auto"/>
        <w:ind w:right="-285"/>
      </w:pPr>
      <w:r>
        <w:t>Cada tres metros de longitud (3 m) de la armadura se colocarán centradores para garantizar su correcta colocación y asegurar el recubrimiento mínimo frente a la corrosión, siendo de dos (2), el número mínimo de secciones transversales en las que se instalen centradores.</w:t>
      </w:r>
    </w:p>
    <w:p w:rsidR="00C7085E" w:rsidRDefault="00C7085E" w:rsidP="00B71B1A">
      <w:pPr>
        <w:spacing w:before="120" w:after="240" w:line="276" w:lineRule="auto"/>
        <w:ind w:right="-285"/>
      </w:pPr>
      <w:r>
        <w:t>En el caso de utilizarse, además de la armadura tubular, barras de acero corrugadas se dispondrán elementos que las mantengan en su posición adecuada.</w:t>
      </w:r>
    </w:p>
    <w:p w:rsidR="00C7085E" w:rsidRDefault="00C7085E" w:rsidP="00B71B1A">
      <w:pPr>
        <w:spacing w:before="120" w:after="240" w:line="276" w:lineRule="auto"/>
        <w:ind w:right="-285"/>
      </w:pPr>
      <w:r>
        <w:t>La punta de la armadura no apoyará directamente sobre el fondo, dejando una distancia mínima de diez centímetros (10 cm).</w:t>
      </w:r>
    </w:p>
    <w:p w:rsidR="00C7085E" w:rsidRDefault="00C7085E" w:rsidP="00B71B1A">
      <w:pPr>
        <w:spacing w:before="120" w:after="240" w:line="276" w:lineRule="auto"/>
        <w:ind w:right="-285"/>
      </w:pPr>
      <w:r>
        <w:t>Posteriormente se procederá a la inyección del micropilote, siendo el tiempo transcurrido entre la perforación, la colocación de la armadura y la inyección inferior a veinticuatro horas (24 h).</w:t>
      </w:r>
    </w:p>
    <w:p w:rsidR="00C7085E" w:rsidRDefault="00C7085E" w:rsidP="00B71B1A">
      <w:pPr>
        <w:spacing w:before="120" w:after="240" w:line="276" w:lineRule="auto"/>
        <w:ind w:right="-285"/>
      </w:pPr>
      <w:r>
        <w:t>El equipo mínimo para la ejecución de la inyección estará compuesto por una mezcladora, un agitador y una bomba de inyección.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la calidad de los materiales</w:t>
      </w:r>
    </w:p>
    <w:p w:rsidR="00C7085E" w:rsidRDefault="00C7085E" w:rsidP="00B71B1A">
      <w:pPr>
        <w:spacing w:before="120" w:after="240" w:line="276" w:lineRule="auto"/>
        <w:ind w:right="-285"/>
      </w:pPr>
      <w:r>
        <w:t>No podrán emplearse productos de acero como armadura tubular de la que el Adjudicatario no presente la documentación siguiente:</w:t>
      </w:r>
    </w:p>
    <w:p w:rsidR="00C7085E" w:rsidRDefault="00C7085E" w:rsidP="00B71B1A">
      <w:pPr>
        <w:widowControl/>
        <w:numPr>
          <w:ilvl w:val="0"/>
          <w:numId w:val="12"/>
        </w:numPr>
        <w:suppressAutoHyphens/>
        <w:spacing w:before="120" w:after="240" w:line="276" w:lineRule="auto"/>
        <w:ind w:left="714" w:right="-285" w:hanging="357"/>
      </w:pPr>
      <w:r>
        <w:t>Nombre y dirección de la empresa suministradora</w:t>
      </w:r>
    </w:p>
    <w:p w:rsidR="00C7085E" w:rsidRDefault="00C7085E" w:rsidP="00B71B1A">
      <w:pPr>
        <w:widowControl/>
        <w:numPr>
          <w:ilvl w:val="0"/>
          <w:numId w:val="12"/>
        </w:numPr>
        <w:suppressAutoHyphens/>
        <w:spacing w:before="120" w:after="240" w:line="276" w:lineRule="auto"/>
        <w:ind w:left="714" w:right="-285" w:hanging="357"/>
      </w:pPr>
      <w:r>
        <w:t>Fecha de suministro</w:t>
      </w:r>
    </w:p>
    <w:p w:rsidR="00C7085E" w:rsidRDefault="00C7085E" w:rsidP="00B71B1A">
      <w:pPr>
        <w:widowControl/>
        <w:numPr>
          <w:ilvl w:val="0"/>
          <w:numId w:val="12"/>
        </w:numPr>
        <w:suppressAutoHyphens/>
        <w:spacing w:before="120" w:after="240" w:line="276" w:lineRule="auto"/>
        <w:ind w:left="714" w:right="-285" w:hanging="357"/>
      </w:pPr>
      <w:r>
        <w:t>Identificación del vehículo que la suministra</w:t>
      </w:r>
    </w:p>
    <w:p w:rsidR="00C7085E" w:rsidRDefault="00C7085E" w:rsidP="00B71B1A">
      <w:pPr>
        <w:widowControl/>
        <w:numPr>
          <w:ilvl w:val="0"/>
          <w:numId w:val="12"/>
        </w:numPr>
        <w:suppressAutoHyphens/>
        <w:spacing w:before="120" w:after="240" w:line="276" w:lineRule="auto"/>
        <w:ind w:left="714" w:right="-285" w:hanging="357"/>
      </w:pPr>
      <w:r>
        <w:t>Número de partidas que componen el suministro, identificando para cada partida, el fabricante y su contenido (peso, número de perfiles, tipo y grado de acero del material base de partida).</w:t>
      </w:r>
    </w:p>
    <w:p w:rsidR="00C7085E" w:rsidRDefault="00C7085E" w:rsidP="00B71B1A">
      <w:pPr>
        <w:spacing w:before="120" w:after="240" w:line="276" w:lineRule="auto"/>
        <w:ind w:right="-285"/>
      </w:pPr>
      <w:r>
        <w:t>Además cada partida, deberá llegar acompañada de la siguiente documentación:</w:t>
      </w:r>
    </w:p>
    <w:p w:rsidR="00C7085E" w:rsidRDefault="00C7085E" w:rsidP="00B71B1A">
      <w:pPr>
        <w:widowControl/>
        <w:numPr>
          <w:ilvl w:val="0"/>
          <w:numId w:val="12"/>
        </w:numPr>
        <w:suppressAutoHyphens/>
        <w:spacing w:before="120" w:after="240" w:line="276" w:lineRule="auto"/>
        <w:ind w:left="714" w:right="-285" w:hanging="357"/>
      </w:pPr>
      <w:r>
        <w:t>Certificado del fabricante, firmado por persona física, en el que se indiquen los valores de las diferentes características especificadas en la norma UNE-EN 10210 o UNE-EN 10219, según corresponda.</w:t>
      </w:r>
    </w:p>
    <w:p w:rsidR="00C7085E" w:rsidRDefault="00C7085E" w:rsidP="00B71B1A">
      <w:pPr>
        <w:widowControl/>
        <w:numPr>
          <w:ilvl w:val="0"/>
          <w:numId w:val="12"/>
        </w:numPr>
        <w:suppressAutoHyphens/>
        <w:spacing w:before="120" w:after="240" w:line="276" w:lineRule="auto"/>
        <w:ind w:left="714" w:right="-285" w:hanging="357"/>
      </w:pPr>
      <w:r>
        <w:t>Resultados de los ensayos que justifiquen que los productos de acero cumplen las características especificadas.</w:t>
      </w:r>
    </w:p>
    <w:p w:rsidR="00C7085E" w:rsidRDefault="00C7085E" w:rsidP="00B71B1A">
      <w:pPr>
        <w:spacing w:before="120" w:after="240" w:line="276" w:lineRule="auto"/>
        <w:ind w:right="-285"/>
      </w:pPr>
      <w:r>
        <w:t>Se comprobará el correcto marcado de los perfiles o paquetes de perfiles, que debe incluir la designación abreviada de la norma que corresponda, el tipo y grado de acero, el nombre o las siglas del fabricante.</w:t>
      </w:r>
    </w:p>
    <w:p w:rsidR="00C7085E" w:rsidRDefault="00C7085E" w:rsidP="00B71B1A">
      <w:pPr>
        <w:keepNext/>
        <w:spacing w:before="120" w:after="240" w:line="276" w:lineRule="auto"/>
        <w:ind w:right="-285"/>
        <w:rPr>
          <w:u w:val="single"/>
        </w:rPr>
      </w:pPr>
      <w:r>
        <w:rPr>
          <w:u w:val="single"/>
        </w:rPr>
        <w:lastRenderedPageBreak/>
        <w:t>Control de la ejecución</w:t>
      </w:r>
    </w:p>
    <w:p w:rsidR="00C7085E" w:rsidRDefault="00C7085E" w:rsidP="00B71B1A">
      <w:pPr>
        <w:keepNext/>
        <w:spacing w:before="120" w:after="240" w:line="276" w:lineRule="auto"/>
        <w:ind w:right="-285"/>
      </w:pPr>
      <w:r>
        <w:t>Se comprobará que se cumplen los procedimientos y secuencias constructivas establecidas en el Proyecto y en el protocolo de ejecución.</w:t>
      </w:r>
    </w:p>
    <w:p w:rsidR="00C7085E" w:rsidRDefault="00C7085E" w:rsidP="00B71B1A">
      <w:pPr>
        <w:spacing w:before="120" w:after="240" w:line="276" w:lineRule="auto"/>
        <w:ind w:right="-285"/>
      </w:pPr>
      <w:r>
        <w:t>Se efectuarán controles para verificar la idoneidad, tanto de la fabricación de la mezcla, como del proceso de inyección.</w:t>
      </w:r>
    </w:p>
    <w:p w:rsidR="00C7085E" w:rsidRDefault="00C7085E" w:rsidP="00B71B1A">
      <w:pPr>
        <w:spacing w:before="120" w:after="240" w:line="276" w:lineRule="auto"/>
        <w:ind w:right="-285"/>
      </w:pPr>
      <w:r>
        <w:t>Diariamente se llevarán a cabo los siguientes controles: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Tiempo de amasado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Relación agua/cemento (a/c)</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Cantidad de aditivo utilizado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Viscosidad con el cono Marsh</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Densidad aparente con una balanza de lodos, justo antes de la inyección</w:t>
      </w:r>
    </w:p>
    <w:p w:rsidR="00C7085E" w:rsidRDefault="00C7085E" w:rsidP="00B71B1A">
      <w:pPr>
        <w:spacing w:before="120" w:after="240" w:line="276" w:lineRule="auto"/>
        <w:ind w:right="-285"/>
      </w:pPr>
      <w:r>
        <w:rPr>
          <w:u w:val="single"/>
        </w:rPr>
        <w:t>Tolerancias</w:t>
      </w:r>
    </w:p>
    <w:p w:rsidR="00C7085E" w:rsidRDefault="00C7085E" w:rsidP="00B71B1A">
      <w:pPr>
        <w:spacing w:before="120" w:after="240" w:line="276" w:lineRule="auto"/>
        <w:ind w:right="-285"/>
      </w:pPr>
      <w:r>
        <w:t>Los micropilotes se ejecutarán con los siguientes rangos de tolerancias:</w:t>
      </w:r>
    </w:p>
    <w:p w:rsidR="00C7085E" w:rsidRDefault="00C7085E" w:rsidP="00B71B1A">
      <w:pPr>
        <w:widowControl/>
        <w:numPr>
          <w:ilvl w:val="0"/>
          <w:numId w:val="18"/>
        </w:numPr>
        <w:suppressAutoHyphens/>
        <w:spacing w:before="120" w:after="240" w:line="276" w:lineRule="auto"/>
        <w:ind w:left="714" w:right="-285" w:hanging="357"/>
      </w:pPr>
      <w:r>
        <w:t>La posición en planta del eje del micropilote respecto a la fijada, no deberá exceder en más de cincuenta milímetros (50 mm). Esta verificación deberá efectuarse en todos y cada uno de los taladros.</w:t>
      </w:r>
    </w:p>
    <w:p w:rsidR="00C7085E" w:rsidRDefault="00C7085E" w:rsidP="00B71B1A">
      <w:pPr>
        <w:widowControl/>
        <w:numPr>
          <w:ilvl w:val="0"/>
          <w:numId w:val="18"/>
        </w:numPr>
        <w:suppressAutoHyphens/>
        <w:spacing w:before="120" w:after="240" w:line="276" w:lineRule="auto"/>
        <w:ind w:left="714" w:right="-285" w:hanging="357"/>
      </w:pPr>
      <w:r>
        <w:t>La excentricidad del eje del micropilote respecto a la posición fijada, no se deberá desviar más de dos grados sexagesimales (2º). Esta verificación deberá efectuarse en al menos cinco por ciento (5%) de los taladros, con un mínimo de tres (3) unidades por tajo.</w:t>
      </w:r>
    </w:p>
    <w:p w:rsidR="00C7085E" w:rsidRDefault="00C7085E" w:rsidP="00B71B1A">
      <w:pPr>
        <w:widowControl/>
        <w:numPr>
          <w:ilvl w:val="0"/>
          <w:numId w:val="18"/>
        </w:numPr>
        <w:suppressAutoHyphens/>
        <w:spacing w:before="120" w:after="240" w:line="276" w:lineRule="auto"/>
        <w:ind w:left="714" w:right="-285" w:hanging="357"/>
      </w:pPr>
      <w:r>
        <w:t>La reducción del diámetro nominal del micropilote respecto al previsto en Proyecto, no deberá exceder de los dos milímetros (2 mm) Se verificará cada vez que se cambie el útil de perforación, cuando éste, a juicio de la Dirección de Obra, tenga un desgaste apreciable y en todo caso, en el cinco por ciento (5%) de los micropilotes que se ejecuten.</w:t>
      </w:r>
    </w:p>
    <w:p w:rsidR="00C7085E" w:rsidRDefault="00C7085E" w:rsidP="00B71B1A">
      <w:pPr>
        <w:widowControl/>
        <w:numPr>
          <w:ilvl w:val="0"/>
          <w:numId w:val="18"/>
        </w:numPr>
        <w:suppressAutoHyphens/>
        <w:spacing w:before="120" w:after="240" w:line="276" w:lineRule="auto"/>
        <w:ind w:left="714" w:right="-285" w:hanging="357"/>
      </w:pPr>
      <w:r>
        <w:t>La longitud de la perforación no debe exceder en más de veinte centímetros (20 cm) de la prevista en Proyecto. Esta verificación se efectuara en al menos un veinte por ciento (20%) de los taladros, con un mínimo de tres (3) unidades por tajo.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micropilotes se abonarán, dependiendo de su diámetro, aplicando el precio que corresponda de los que figuren en el Cuadro de Precios vigente de Canal de Isabel II Gestión.</w:t>
      </w:r>
    </w:p>
    <w:p w:rsidR="00C7085E" w:rsidRDefault="00C7085E" w:rsidP="00B71B1A">
      <w:pPr>
        <w:spacing w:before="120" w:after="240" w:line="276" w:lineRule="auto"/>
        <w:ind w:right="-285"/>
      </w:pPr>
      <w:r>
        <w:t>En el precio está incluida la parte proporcional de transporte de equipo mecánico necesario y todas las operaciones auxiliares precisas para la terminación del pilote.</w:t>
      </w:r>
    </w:p>
    <w:p w:rsidR="00C7085E" w:rsidRDefault="00C7085E" w:rsidP="00B71B1A">
      <w:pPr>
        <w:pStyle w:val="Ttulo3"/>
        <w:widowControl/>
        <w:numPr>
          <w:ilvl w:val="2"/>
          <w:numId w:val="5"/>
        </w:numPr>
        <w:tabs>
          <w:tab w:val="left" w:pos="567"/>
        </w:tabs>
        <w:suppressAutoHyphens/>
        <w:snapToGrid w:val="0"/>
        <w:spacing w:before="120" w:after="240" w:line="276" w:lineRule="auto"/>
        <w:ind w:left="1701" w:right="-285" w:hanging="1701"/>
      </w:pPr>
      <w:bookmarkStart w:id="145" w:name="_Toc414021782"/>
      <w:bookmarkStart w:id="146" w:name="_Toc448741404"/>
      <w:r>
        <w:lastRenderedPageBreak/>
        <w:t>Muros pantalla</w:t>
      </w:r>
      <w:bookmarkEnd w:id="145"/>
      <w:bookmarkEnd w:id="146"/>
    </w:p>
    <w:p w:rsidR="00C7085E" w:rsidRDefault="00C7085E" w:rsidP="00B71B1A">
      <w:pPr>
        <w:keepNext/>
        <w:spacing w:before="120" w:after="240" w:line="276" w:lineRule="auto"/>
        <w:ind w:right="-285"/>
      </w:pPr>
      <w:r>
        <w:t>Los muros pantalla son los elementos de hormigón armado construidos mediante la perforación en el terreno de zanjas profundas y alargadas, sin necesidad de entibaciones, colocación de armadura y relleno posterior de hormigón, generando una estructura continua.</w:t>
      </w:r>
    </w:p>
    <w:p w:rsidR="00C7085E" w:rsidRDefault="00C7085E" w:rsidP="00B71B1A">
      <w:pPr>
        <w:spacing w:before="120" w:after="240" w:line="276" w:lineRule="auto"/>
        <w:ind w:right="-285"/>
        <w:rPr>
          <w:i/>
        </w:rPr>
      </w:pPr>
      <w:r>
        <w:t xml:space="preserve">La normativa de referencia de estos elementos es el artículo 672. </w:t>
      </w:r>
      <w:r>
        <w:rPr>
          <w:i/>
        </w:rPr>
        <w:t>Pantallas Continuas de Hormigón Armado Moldeadas “in situ</w:t>
      </w:r>
      <w:r>
        <w:t xml:space="preserve">” del PG3 y la norma UNE–EN 1538: </w:t>
      </w:r>
      <w:r>
        <w:rPr>
          <w:i/>
        </w:rPr>
        <w:t>“Ejecución de Trabajos Geotécnicos Especiales. Muros Pantalla”: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El hormigón cumplirá las prescripciones de la Instrucción de Hormigón (EHE), con las siguientes características particulares:</w:t>
      </w:r>
    </w:p>
    <w:p w:rsidR="00C7085E" w:rsidRDefault="00C7085E" w:rsidP="00B71B1A">
      <w:pPr>
        <w:widowControl/>
        <w:numPr>
          <w:ilvl w:val="0"/>
          <w:numId w:val="19"/>
        </w:numPr>
        <w:suppressAutoHyphens/>
        <w:spacing w:before="120" w:after="240" w:line="276" w:lineRule="auto"/>
        <w:ind w:left="714" w:right="-285" w:hanging="357"/>
      </w:pPr>
      <w:r>
        <w:t>La consistencia del hormigón fresco, justo antes de hormigonar, debe corresponder a un cono de Abrams determinado según UNE 12350: “</w:t>
      </w:r>
      <w:r>
        <w:rPr>
          <w:i/>
        </w:rPr>
        <w:t>Ensayos de hormigón fresco. Parte 2: Ensayo de asentamiento”,</w:t>
      </w:r>
      <w:r>
        <w:t xml:space="preserve"> comprendido entre dieciséis y veinte centímetros (16 y 20 cm).</w:t>
      </w:r>
    </w:p>
    <w:p w:rsidR="00C7085E" w:rsidRDefault="00C7085E" w:rsidP="00B71B1A">
      <w:pPr>
        <w:widowControl/>
        <w:numPr>
          <w:ilvl w:val="0"/>
          <w:numId w:val="19"/>
        </w:numPr>
        <w:suppressAutoHyphens/>
        <w:spacing w:before="120" w:after="240" w:line="276" w:lineRule="auto"/>
        <w:ind w:left="714" w:right="-285" w:hanging="357"/>
      </w:pPr>
      <w:r>
        <w:t>A fin de evitar que se produzca segregación, la granulometría de los áridos debe ser continua con el adecuado contenido de finos.</w:t>
      </w:r>
    </w:p>
    <w:p w:rsidR="00C7085E" w:rsidRDefault="00C7085E" w:rsidP="00B71B1A">
      <w:pPr>
        <w:widowControl/>
        <w:numPr>
          <w:ilvl w:val="0"/>
          <w:numId w:val="19"/>
        </w:numPr>
        <w:suppressAutoHyphens/>
        <w:spacing w:before="120" w:after="240" w:line="276" w:lineRule="auto"/>
        <w:ind w:left="714" w:right="-285" w:hanging="357"/>
      </w:pPr>
      <w:r>
        <w:t>El porcentaje de arena, en los áridos, debe ser superior al cuarenta por ciento (40%) en peso.</w:t>
      </w:r>
    </w:p>
    <w:p w:rsidR="00C7085E" w:rsidRDefault="00C7085E" w:rsidP="00B71B1A">
      <w:pPr>
        <w:widowControl/>
        <w:numPr>
          <w:ilvl w:val="0"/>
          <w:numId w:val="19"/>
        </w:numPr>
        <w:suppressAutoHyphens/>
        <w:spacing w:before="120" w:after="240" w:line="276" w:lineRule="auto"/>
        <w:ind w:left="714" w:right="-285" w:hanging="357"/>
      </w:pPr>
      <w:r>
        <w:t>El conjunto de partículas finas en el hormigón (comprendido el cemento u otros materiales finos) deberá estar entre cuatrocientos kilogramos por metro cubico (400 kg/m</w:t>
      </w:r>
      <w:r>
        <w:rPr>
          <w:vertAlign w:val="superscript"/>
        </w:rPr>
        <w:t>3</w:t>
      </w:r>
      <w:r>
        <w:t>) y quinientos cincuenta kilogramos por metro cubico (550 kg/m</w:t>
      </w:r>
      <w:r>
        <w:rPr>
          <w:vertAlign w:val="superscript"/>
        </w:rPr>
        <w:t>3</w:t>
      </w:r>
      <w:r>
        <w:t>).</w:t>
      </w:r>
    </w:p>
    <w:p w:rsidR="00C7085E" w:rsidRDefault="00C7085E" w:rsidP="00B71B1A">
      <w:pPr>
        <w:widowControl/>
        <w:numPr>
          <w:ilvl w:val="0"/>
          <w:numId w:val="19"/>
        </w:numPr>
        <w:suppressAutoHyphens/>
        <w:spacing w:before="120" w:after="240" w:line="276" w:lineRule="auto"/>
        <w:ind w:left="714" w:right="-285" w:hanging="357"/>
      </w:pPr>
      <w:r>
        <w:t>La dimensión máxima de los áridos no deberá sobrepasar el menor de los dos valores siguientes: treinta y dos milímetros (32 mm) o un cuarto (1/4) del espaciamiento entre las barras de armado longitudinales.</w:t>
      </w:r>
    </w:p>
    <w:p w:rsidR="00C7085E" w:rsidRDefault="00C7085E" w:rsidP="00B71B1A">
      <w:pPr>
        <w:keepNext/>
        <w:keepLines/>
        <w:widowControl/>
        <w:numPr>
          <w:ilvl w:val="0"/>
          <w:numId w:val="19"/>
        </w:numPr>
        <w:suppressAutoHyphens/>
        <w:spacing w:before="120" w:after="240" w:line="276" w:lineRule="auto"/>
        <w:ind w:left="714" w:right="-285" w:hanging="357"/>
      </w:pPr>
      <w:r>
        <w:lastRenderedPageBreak/>
        <w:t xml:space="preserve">El contenido mínimo de cemento será función del tamaño máximo del árido. </w:t>
      </w:r>
    </w:p>
    <w:tbl>
      <w:tblPr>
        <w:tblStyle w:val="Tablaconcuadrcula"/>
        <w:tblW w:w="0" w:type="auto"/>
        <w:jc w:val="center"/>
        <w:tblLook w:val="04A0" w:firstRow="1" w:lastRow="0" w:firstColumn="1" w:lastColumn="0" w:noHBand="0" w:noVBand="1"/>
      </w:tblPr>
      <w:tblGrid>
        <w:gridCol w:w="2835"/>
        <w:gridCol w:w="2835"/>
      </w:tblGrid>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Tamaño máximo del árido (mm)</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Mínimo contenido de cemento (kg/m</w:t>
            </w:r>
            <w:r>
              <w:rPr>
                <w:b/>
                <w:vertAlign w:val="superscript"/>
              </w:rPr>
              <w:t>3</w:t>
            </w:r>
            <w:r>
              <w:rPr>
                <w:b/>
              </w:rPr>
              <w:t>)</w:t>
            </w:r>
          </w:p>
        </w:tc>
      </w:tr>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rPr>
                <w:szCs w:val="20"/>
              </w:rPr>
            </w:pPr>
            <w:r>
              <w:rPr>
                <w:szCs w:val="20"/>
              </w:rPr>
              <w:t>32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rPr>
                <w:szCs w:val="20"/>
              </w:rPr>
            </w:pPr>
            <w:r>
              <w:rPr>
                <w:szCs w:val="20"/>
              </w:rPr>
              <w:t>350</w:t>
            </w:r>
          </w:p>
        </w:tc>
      </w:tr>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rPr>
                <w:szCs w:val="20"/>
              </w:rPr>
            </w:pPr>
            <w:r>
              <w:rPr>
                <w:szCs w:val="20"/>
              </w:rPr>
              <w:t>25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rPr>
                <w:szCs w:val="20"/>
              </w:rPr>
            </w:pPr>
            <w:r>
              <w:rPr>
                <w:szCs w:val="20"/>
              </w:rPr>
              <w:t>370</w:t>
            </w:r>
          </w:p>
        </w:tc>
      </w:tr>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rPr>
                <w:szCs w:val="20"/>
              </w:rPr>
            </w:pPr>
            <w:r>
              <w:rPr>
                <w:szCs w:val="20"/>
              </w:rPr>
              <w:t>20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rPr>
                <w:szCs w:val="20"/>
              </w:rPr>
            </w:pPr>
            <w:r>
              <w:rPr>
                <w:szCs w:val="20"/>
              </w:rPr>
              <w:t>385</w:t>
            </w:r>
          </w:p>
        </w:tc>
      </w:tr>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rPr>
                <w:szCs w:val="20"/>
              </w:rPr>
            </w:pPr>
            <w:r>
              <w:rPr>
                <w:szCs w:val="20"/>
              </w:rPr>
              <w:t>16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jc w:val="center"/>
              <w:rPr>
                <w:szCs w:val="20"/>
              </w:rPr>
            </w:pPr>
            <w:r>
              <w:rPr>
                <w:szCs w:val="20"/>
              </w:rPr>
              <w:t>400</w:t>
            </w:r>
          </w:p>
        </w:tc>
      </w:tr>
    </w:tbl>
    <w:p w:rsidR="00C7085E" w:rsidRDefault="00C7085E" w:rsidP="00B71B1A">
      <w:pPr>
        <w:pStyle w:val="Tabla"/>
        <w:keepNext/>
        <w:keepLines/>
        <w:spacing w:before="120" w:line="276" w:lineRule="auto"/>
        <w:ind w:right="-285"/>
      </w:pPr>
      <w:r>
        <w:t>Contenido mínimo de cemento en el hormigón</w:t>
      </w:r>
    </w:p>
    <w:p w:rsidR="00C7085E" w:rsidRDefault="00C7085E" w:rsidP="00B71B1A">
      <w:pPr>
        <w:spacing w:before="120" w:after="240" w:line="276" w:lineRule="auto"/>
        <w:ind w:right="-285"/>
      </w:pPr>
      <w:r>
        <w:t>Las armaduras verticales deberán tener un diámetro igual o superior a doce milímetros (12 mm), debiendo haber un mínimo de tres (3) barras por metro de longitud, en cada lado de la jaula de armadura.</w:t>
      </w:r>
    </w:p>
    <w:p w:rsidR="00C7085E" w:rsidRDefault="00C7085E" w:rsidP="00B71B1A">
      <w:pPr>
        <w:spacing w:before="120" w:after="240" w:line="276" w:lineRule="auto"/>
        <w:ind w:right="-285"/>
      </w:pPr>
      <w:r>
        <w:t>El espaciamiento horizontal libre, paralelamente al plano de pantalla, entre barras o grupo de barras, deberá ser superior o igual a cien milímetros (100 mm). Esta cifra podrá reducirse a ochenta milímetros (80 mm) en caso de paneles fuertemente armados, siempre que el tamaño máximo del árido sea de veinte milímetros (20 mm) o inferior.</w:t>
      </w:r>
    </w:p>
    <w:p w:rsidR="00C7085E" w:rsidRDefault="00C7085E" w:rsidP="00B71B1A">
      <w:pPr>
        <w:spacing w:before="120" w:after="240" w:line="276" w:lineRule="auto"/>
        <w:ind w:right="-285"/>
      </w:pPr>
      <w:r>
        <w:t>Cuando la jaula de armadura esté compuesta por varios elementos verticales, la unión entre barras deberá efectuarse por solape o por acoplamiento.</w:t>
      </w:r>
    </w:p>
    <w:p w:rsidR="00C7085E" w:rsidRDefault="00C7085E" w:rsidP="00B71B1A">
      <w:pPr>
        <w:spacing w:before="120" w:after="240" w:line="276" w:lineRule="auto"/>
        <w:ind w:right="-285"/>
      </w:pPr>
      <w:r>
        <w:t>En el caso de solape será necesario efectuar soldaduras, u otro procedimiento adecuado, que permita garantizar que no se produzcan deslizamientos entre las barras durante las operaciones de manipulación y colocación de las armaduras en su emplazamiento definitivo.</w:t>
      </w:r>
    </w:p>
    <w:p w:rsidR="00C7085E" w:rsidRDefault="00C7085E" w:rsidP="00B71B1A">
      <w:pPr>
        <w:spacing w:before="120" w:after="240" w:line="276" w:lineRule="auto"/>
        <w:ind w:right="-285"/>
      </w:pPr>
      <w:r>
        <w:t>Las armaduras horizontales se deberán colocar de tal manera que eviten movimientos en la armadura vertical y habiliten un espacio adecuado para las columnas de hormigonado.</w:t>
      </w:r>
    </w:p>
    <w:p w:rsidR="00C7085E" w:rsidRDefault="00C7085E" w:rsidP="00B71B1A">
      <w:pPr>
        <w:spacing w:before="120" w:after="240" w:line="276" w:lineRule="auto"/>
        <w:ind w:right="-285"/>
      </w:pPr>
      <w:r>
        <w:t>El espaciamiento vertical libre entre armaduras horizontales deberá ser superior o igual a doscientos milímetros (200 mm). Esta cantidad, se podrá reducir localmente a cien milímetros (100 mm) en aquellos casos en que la armadura horizontal sea elevada.</w:t>
      </w:r>
    </w:p>
    <w:p w:rsidR="00C7085E" w:rsidRDefault="00C7085E" w:rsidP="00B71B1A">
      <w:pPr>
        <w:spacing w:before="120" w:after="240" w:line="276" w:lineRule="auto"/>
        <w:ind w:right="-285"/>
      </w:pPr>
      <w:r>
        <w:t>El espaciamiento horizontal libre entre armaduras transversales deberá ser superior o igual a ciento cincuenta milímetros (150 mm). Se recomienda un espaciamiento mínimo de doscientos milímetros (200 mm) para facilitar el movimiento del hormigón.</w:t>
      </w:r>
    </w:p>
    <w:p w:rsidR="00C7085E" w:rsidRDefault="00C7085E" w:rsidP="00B71B1A">
      <w:pPr>
        <w:spacing w:before="120" w:after="240" w:line="276" w:lineRule="auto"/>
        <w:ind w:right="-285"/>
      </w:pPr>
      <w:r>
        <w:t>En caso de paneles con varias jaulas de armadura, la distancia mínima libre entre dos jaulas de un mismo panel deberá ser de doscientos milímetros (200 mm). Asimismo, la distancia mínima libre entre el extremo de una jaula y una junta deberá ser de cien milímetros (100 mm).</w:t>
      </w:r>
    </w:p>
    <w:p w:rsidR="00C7085E" w:rsidRDefault="00C7085E" w:rsidP="00B71B1A">
      <w:pPr>
        <w:keepNext/>
        <w:keepLines/>
        <w:spacing w:before="120" w:after="240" w:line="276" w:lineRule="auto"/>
        <w:ind w:right="-285"/>
      </w:pPr>
      <w:r>
        <w:lastRenderedPageBreak/>
        <w:t>La bentonita se utiliza en los fluidos de excavación como componente de los lodos bentoníticos y como aditivo de los lodos de polímeros. Los lodos bentoníticos deben cumplir los siguientes parámetros:</w:t>
      </w:r>
    </w:p>
    <w:tbl>
      <w:tblPr>
        <w:tblStyle w:val="Tablaconcuadrcula"/>
        <w:tblW w:w="0" w:type="auto"/>
        <w:jc w:val="center"/>
        <w:tblLook w:val="04A0" w:firstRow="1" w:lastRow="0" w:firstColumn="1" w:lastColumn="0" w:noHBand="0" w:noVBand="1"/>
      </w:tblPr>
      <w:tblGrid>
        <w:gridCol w:w="3949"/>
        <w:gridCol w:w="1275"/>
        <w:gridCol w:w="1639"/>
        <w:gridCol w:w="1439"/>
      </w:tblGrid>
      <w:tr w:rsidR="00C7085E" w:rsidTr="00C7085E">
        <w:trPr>
          <w:jc w:val="center"/>
        </w:trPr>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Propiedades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Fresco</w:t>
            </w:r>
          </w:p>
        </w:tc>
        <w:tc>
          <w:tcPr>
            <w:tcW w:w="16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Reutilización</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Antes de hormigonar</w:t>
            </w:r>
          </w:p>
        </w:tc>
      </w:tr>
      <w:tr w:rsidR="00C7085E" w:rsidTr="00C7085E">
        <w:trPr>
          <w:jc w:val="center"/>
        </w:trPr>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pPr>
            <w:r>
              <w:t>Densidad (g/m</w:t>
            </w:r>
            <w:r>
              <w:rPr>
                <w:vertAlign w:val="superscript"/>
              </w:rPr>
              <w:t>3</w:t>
            </w:r>
            <w: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&lt;1,10</w:t>
            </w:r>
          </w:p>
        </w:tc>
        <w:tc>
          <w:tcPr>
            <w:tcW w:w="16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&lt;1,25</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&lt;1,15</w:t>
            </w:r>
          </w:p>
        </w:tc>
      </w:tr>
      <w:tr w:rsidR="00C7085E" w:rsidTr="00C7085E">
        <w:trPr>
          <w:jc w:val="center"/>
        </w:trPr>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pPr>
            <w:r>
              <w:t>Viscosidad Marsh (s)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De 32 a 50</w:t>
            </w:r>
          </w:p>
        </w:tc>
        <w:tc>
          <w:tcPr>
            <w:tcW w:w="16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De 32 a 60</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De 32 a 50</w:t>
            </w:r>
          </w:p>
        </w:tc>
      </w:tr>
      <w:tr w:rsidR="00C7085E" w:rsidTr="00C7085E">
        <w:trPr>
          <w:jc w:val="center"/>
        </w:trPr>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pPr>
            <w:r>
              <w:t>Pérdida fluido (cm</w:t>
            </w:r>
            <w:r>
              <w:rPr>
                <w:vertAlign w:val="superscript"/>
              </w:rPr>
              <w:t>3</w:t>
            </w:r>
            <w: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&lt;30</w:t>
            </w:r>
          </w:p>
        </w:tc>
        <w:tc>
          <w:tcPr>
            <w:tcW w:w="16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&lt;50</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No se aplica</w:t>
            </w:r>
          </w:p>
        </w:tc>
      </w:tr>
      <w:tr w:rsidR="00C7085E" w:rsidTr="00C7085E">
        <w:trPr>
          <w:jc w:val="center"/>
        </w:trPr>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pPr>
            <w:r>
              <w:t>pH</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De 7 a 11</w:t>
            </w:r>
          </w:p>
        </w:tc>
        <w:tc>
          <w:tcPr>
            <w:tcW w:w="16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De 7 a 12</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No se aplica</w:t>
            </w:r>
          </w:p>
        </w:tc>
      </w:tr>
      <w:tr w:rsidR="00C7085E" w:rsidTr="00C7085E">
        <w:trPr>
          <w:jc w:val="center"/>
        </w:trPr>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pPr>
            <w:r>
              <w:t>Contenido arena (% del volumen)</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keepLines/>
              <w:spacing w:before="120" w:after="240" w:line="276" w:lineRule="auto"/>
              <w:ind w:right="-285"/>
              <w:jc w:val="center"/>
            </w:pPr>
          </w:p>
        </w:tc>
        <w:tc>
          <w:tcPr>
            <w:tcW w:w="16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No se aplica</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&lt;4</w:t>
            </w:r>
          </w:p>
        </w:tc>
      </w:tr>
      <w:tr w:rsidR="00C7085E" w:rsidTr="00C7085E">
        <w:trPr>
          <w:jc w:val="center"/>
        </w:trPr>
        <w:tc>
          <w:tcPr>
            <w:tcW w:w="39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keepLines/>
              <w:spacing w:before="120" w:after="240" w:line="276" w:lineRule="auto"/>
              <w:ind w:right="-285"/>
            </w:pPr>
            <w:r>
              <w:t>Cake (mm)</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 3</w:t>
            </w:r>
          </w:p>
        </w:tc>
        <w:tc>
          <w:tcPr>
            <w:tcW w:w="16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&lt; 6</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No se aplica</w:t>
            </w:r>
          </w:p>
        </w:tc>
      </w:tr>
    </w:tbl>
    <w:p w:rsidR="00C7085E" w:rsidRDefault="00C7085E" w:rsidP="00B71B1A">
      <w:pPr>
        <w:pStyle w:val="Tabla"/>
        <w:spacing w:before="120" w:line="276" w:lineRule="auto"/>
        <w:ind w:right="-285"/>
      </w:pPr>
      <w:r>
        <w:t>Características de los lodos bentoníticos en diferentes condiciones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Para la construcción de la pantalla se dispondrá una superficie de trabajo sensiblemente horizontal, libre de obstáculos y de anchura suficiente para el trabajo de la maquinaria. El nivel freático deberá quedar a una profundidad mínima del orden de un metro y medio (1,5 m) por debajo del terreno; si esta condición no se cumple, se construirá una terraplén, con la altura necesaria y un grado de compactación no inferior al del terreno natural. La superficie de trabajo estará convenientemente drenada para evitar encharcamientos en periodos lluviosos.</w:t>
      </w:r>
    </w:p>
    <w:p w:rsidR="00C7085E" w:rsidRDefault="00C7085E" w:rsidP="00B71B1A">
      <w:pPr>
        <w:spacing w:before="120" w:after="240" w:line="276" w:lineRule="auto"/>
        <w:ind w:right="-285"/>
      </w:pPr>
      <w:r>
        <w:t>Establecida la plataforma de trabajo, deberá efectuarse, en primer lugar, el trabajo de replanteo, situando el eje de la pantalla y puntos de nivelación para determinar las cotas de ejecución.</w:t>
      </w:r>
    </w:p>
    <w:p w:rsidR="00C7085E" w:rsidRDefault="00C7085E" w:rsidP="00B71B1A">
      <w:pPr>
        <w:spacing w:before="120" w:after="240" w:line="276" w:lineRule="auto"/>
        <w:ind w:right="-285"/>
      </w:pPr>
      <w:r>
        <w:t xml:space="preserve">Los muretes guía tienen como finalidad garantizar la correcta alineación de la pantalla hormigonada, guiar los útiles de excavación, evitar cualquier desprendimiento de terreno de la zanja en la zona de fluctuación del fluido de excavación, así como servir de soporte para las jaulas de armadura, u otros a introducir en la excavación hasta que endurezca el hormigón. </w:t>
      </w:r>
    </w:p>
    <w:p w:rsidR="00C7085E" w:rsidRDefault="00C7085E" w:rsidP="00B71B1A">
      <w:pPr>
        <w:spacing w:before="120" w:after="240" w:line="276" w:lineRule="auto"/>
        <w:ind w:right="-285"/>
      </w:pPr>
      <w:r>
        <w:t xml:space="preserve">Los muretes guía deberán ser normalmente de hormigón armado y construidos "in situ". Su profundidad, normalmente comprendida entre medio metro y metro y medio (0,5 y 1,5 m), dependerá de las condiciones del terreno. Los muretes guía deberán permitir que se respeten las tolerancias especificadas para los paneles de pantalla. La distancia entre </w:t>
      </w:r>
      <w:r>
        <w:lastRenderedPageBreak/>
        <w:t>muretes guía deberá ser entre veinte y cincuenta milímetros (20 y 50 mm) superior al espesor de proyecto de la pantalla.</w:t>
      </w:r>
    </w:p>
    <w:p w:rsidR="00C7085E" w:rsidRDefault="00C7085E" w:rsidP="00B71B1A">
      <w:pPr>
        <w:spacing w:before="120" w:after="240" w:line="276" w:lineRule="auto"/>
        <w:ind w:right="-285"/>
      </w:pPr>
      <w:r>
        <w:t>Antes de iniciarse los trabajos, el Adjudicatario someterá a la aprobación de la Dirección de Obra los detalles relativos a la dosificación del lodo fresco, teniendo en cuenta lo especificado en el apartado de características de los materiales de este artículo.</w:t>
      </w:r>
    </w:p>
    <w:p w:rsidR="00C7085E" w:rsidRDefault="00C7085E" w:rsidP="00B71B1A">
      <w:pPr>
        <w:spacing w:before="120" w:after="240" w:line="276" w:lineRule="auto"/>
        <w:ind w:right="-285"/>
      </w:pPr>
      <w:r>
        <w:t>Con el fin de asegurar la estabilidad de las paredes de la zanja, esta debe ser excavada al abrigo de un fluido de excavación.</w:t>
      </w:r>
    </w:p>
    <w:p w:rsidR="00C7085E" w:rsidRDefault="00C7085E" w:rsidP="00B71B1A">
      <w:pPr>
        <w:spacing w:before="120" w:after="240" w:line="276" w:lineRule="auto"/>
        <w:ind w:right="-285"/>
      </w:pPr>
      <w:r>
        <w:t>La excavación en seco, sin ayuda de fluido, podrá ser utilizada en algunos terrenos coherentes o en roca, si estos presentan una resistencia suficiente para garantizar el mantenimiento de las paredes de la zanja. En los terrenos en los que no se disponga de experiencia similar, se aconseja realizar una excavación de prueba.</w:t>
      </w:r>
    </w:p>
    <w:p w:rsidR="00C7085E" w:rsidRDefault="00C7085E" w:rsidP="00B71B1A">
      <w:pPr>
        <w:spacing w:before="120" w:after="240" w:line="276" w:lineRule="auto"/>
        <w:ind w:right="-285"/>
      </w:pPr>
      <w:r>
        <w:t>Se registrara la calidad y espesor de los estratos atravesados, y se tomaran muestras del terreno en la forma y con la frecuencia que indiquen el Proyecto o la Dirección de Obra.</w:t>
      </w:r>
    </w:p>
    <w:p w:rsidR="00C7085E" w:rsidRDefault="00C7085E" w:rsidP="00B71B1A">
      <w:pPr>
        <w:spacing w:before="120" w:after="240" w:line="276" w:lineRule="auto"/>
        <w:ind w:right="-285"/>
      </w:pPr>
      <w:r>
        <w:t>El nivel del fluido de excavación deberá estar, por lo menos, medio metro (0,5 m) por encima del nivel correspondiente a la estabilidad de la zanja. Deberá estar, asimismo, por lo menos un metro (1 m) por encima del nivel piezométrico más elevado, bien sea natural o rebajado mediante bombeo, de las capas interceptadas por la excavación o situadas en las proximidades. Igualmente, deberá permanecer por encima de los pies de los muretes guía, a menos que el terreno de apoyo de estos no presente riesgo de socavación del suelo por debajo de ellos.</w:t>
      </w:r>
    </w:p>
    <w:p w:rsidR="00C7085E" w:rsidRDefault="00C7085E" w:rsidP="00B71B1A">
      <w:pPr>
        <w:spacing w:before="120" w:after="240" w:line="276" w:lineRule="auto"/>
        <w:ind w:right="-285"/>
      </w:pPr>
      <w:r>
        <w:t>Justo antes de colocar los elementos del panel (encofrados de juntas, jaulas de armaduras y paneles prefabricados) el fondo de la excavación deberá ser limpiado, y en caso necesario, el fluido de excavación deberá ser tratado (proceso de desarenado) o bien reemplazado. En caso de lodo bentonítico deberán respetarse las propiedades especificadas en el apartado i) de este artículo para antes de hormigonar.</w:t>
      </w:r>
    </w:p>
    <w:p w:rsidR="00C7085E" w:rsidRDefault="00C7085E" w:rsidP="00B71B1A">
      <w:pPr>
        <w:spacing w:before="120" w:after="240" w:line="276" w:lineRule="auto"/>
        <w:ind w:right="-285"/>
      </w:pPr>
      <w:r>
        <w:t xml:space="preserve">La duración entre el final de la limpieza de la excavación y el comienzo del hormigonado de los paneles deberá ser inferior a cinco horas (5 h). </w:t>
      </w:r>
    </w:p>
    <w:p w:rsidR="00C7085E" w:rsidRDefault="00C7085E" w:rsidP="00B71B1A">
      <w:pPr>
        <w:spacing w:before="120" w:after="240" w:line="276" w:lineRule="auto"/>
        <w:ind w:right="-285"/>
      </w:pPr>
      <w:r>
        <w:t>Las jaulas de armadura no deberán colocarse en el fondo de la excavación sino que deberán ser suspendidas de los muretes guía.</w:t>
      </w:r>
    </w:p>
    <w:p w:rsidR="00C7085E" w:rsidRDefault="00C7085E" w:rsidP="00B71B1A">
      <w:pPr>
        <w:spacing w:before="120" w:after="240" w:line="276" w:lineRule="auto"/>
        <w:ind w:right="-285"/>
      </w:pPr>
      <w:r>
        <w:t>Se recomienda dejar, entre la jaula y el fondo de la excavación, una distancia mínima de veinte centímetros (20 cm).</w:t>
      </w:r>
    </w:p>
    <w:p w:rsidR="00C7085E" w:rsidRDefault="00C7085E" w:rsidP="00B71B1A">
      <w:pPr>
        <w:spacing w:before="120" w:after="240" w:line="276" w:lineRule="auto"/>
        <w:ind w:right="-285"/>
      </w:pPr>
      <w:r>
        <w:t>Cuando se utilice un fluido de excavación, se deberá colocar el hormigón mediante el sistema Tremie. El tubo-tremie deberá estar limpio y ser estanco. Su diámetro interior deberá ser superior o igual a quince centímetros (15 cm) y a seis (6) veces el tamaño máximo de los áridos. Su diámetro exterior no deberá ser superior a un medio (1/2) de la anchura de la pantalla hormigonada, no armada, y de cero con ocho (0,8) veces la anchura interior de la jaula de armadura para la pantalla de hormigón armado.</w:t>
      </w:r>
    </w:p>
    <w:p w:rsidR="00C7085E" w:rsidRDefault="00C7085E" w:rsidP="00B71B1A">
      <w:pPr>
        <w:spacing w:before="120" w:after="240" w:line="276" w:lineRule="auto"/>
        <w:ind w:right="-285"/>
      </w:pPr>
      <w:r>
        <w:lastRenderedPageBreak/>
        <w:t>El número de tubos-tremie a utilizar en un mismo panel deberá ser determinado de tal manera que se limite el recorrido horizontal del hormigón a partir de cada tubo. En condiciones normales, el recorrido horizontal del hormigón se deberá limitar a dos con cinco metros (2,5 m). Asimismo, se recomienda utilizar al menos un tubo-tremie por jaula de armadura.</w:t>
      </w:r>
    </w:p>
    <w:p w:rsidR="00C7085E" w:rsidRDefault="00C7085E" w:rsidP="00B71B1A">
      <w:pPr>
        <w:spacing w:before="120" w:after="240" w:line="276" w:lineRule="auto"/>
        <w:ind w:right="-285"/>
      </w:pPr>
      <w:r>
        <w:t>Para empezar el hormigonado, el tubo-tremie deberá colocarse sobre el fondo de la zanja y después levantarlo de diez a veinte centímetros (10 a 20 cm). Una vez que el hormigonado haya comenzado, el tubo-tremie deberá estar siempre inmerso en, por lo menos, tres metros (3 m) de hormigón fresco.</w:t>
      </w:r>
    </w:p>
    <w:p w:rsidR="00C7085E" w:rsidRDefault="00C7085E" w:rsidP="00B71B1A">
      <w:pPr>
        <w:spacing w:before="120" w:after="240" w:line="276" w:lineRule="auto"/>
        <w:ind w:right="-285"/>
      </w:pPr>
      <w:r>
        <w:t>La velocidad media de ascenso del hormigón, considerada sobre la altura total de la pantalla, no deberá ser inferior a tres metros por hora (3 m/h).</w:t>
      </w:r>
    </w:p>
    <w:p w:rsidR="00C7085E" w:rsidRDefault="00C7085E" w:rsidP="00B71B1A">
      <w:pPr>
        <w:spacing w:before="120" w:after="240" w:line="276" w:lineRule="auto"/>
        <w:ind w:right="-285"/>
      </w:pPr>
      <w:r>
        <w:t>El hormigonado deberá realizarse sin interrupción, debiendo, el hormigón que circula, hacerlo dentro de un periodo de tiempo equivalente al setenta y cinco por ciento (75%) del de comienzo de fraguado. Cuando se prevea un periodo mayor deberán utilizarse retardadores de fraguado.</w:t>
      </w:r>
    </w:p>
    <w:p w:rsidR="00C7085E" w:rsidRDefault="00C7085E" w:rsidP="00B71B1A">
      <w:pPr>
        <w:spacing w:before="120" w:after="240" w:line="276" w:lineRule="auto"/>
        <w:ind w:right="-285"/>
      </w:pPr>
      <w:r>
        <w:t>Al poder ser la calidad del hormigón, en su parte superior, peor, deberá colocarse una cantidad adicional, excedentaria, de hormigón en el panel de manera que se puedan garantizar las propiedades prescritas para el hormigón situado por debajo del nivel de descabezamiento previsto en Proyecto.</w:t>
      </w:r>
    </w:p>
    <w:p w:rsidR="00C7085E" w:rsidRDefault="00C7085E" w:rsidP="00B71B1A">
      <w:pPr>
        <w:spacing w:before="120" w:after="240" w:line="276" w:lineRule="auto"/>
        <w:ind w:right="-285"/>
      </w:pPr>
      <w:r>
        <w:t>Una vez terminada la ejecución de los paneles se demolerá la cabeza de los mismos en una profundidad suficiente para eliminar el hormigón contaminado por el lodo tixotrópico, y se construirá la viga de atado prevista en el Proyecto. Previamente se prolongaran las armaduras verticales de la pantalla en todo el canto de la viga de atado, enlazándolas con las armaduras longitudinales y transversales de ésta.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Las tolerancias establecidas en este apartado serán aplicables en los casos generales, siendo necesario consultar las normas específicas que rigen en la ejecución de los muros pantalla para situaciones particulares.</w:t>
      </w:r>
    </w:p>
    <w:p w:rsidR="00C7085E" w:rsidRDefault="00C7085E" w:rsidP="00B71B1A">
      <w:pPr>
        <w:spacing w:before="120" w:after="240" w:line="276" w:lineRule="auto"/>
        <w:ind w:right="-285"/>
      </w:pPr>
      <w:r>
        <w:t xml:space="preserve">El muro pantalla se construirá con los siguientes rangos de tolerancias: </w:t>
      </w:r>
    </w:p>
    <w:p w:rsidR="00C7085E" w:rsidRDefault="00C7085E" w:rsidP="00B71B1A">
      <w:pPr>
        <w:widowControl/>
        <w:numPr>
          <w:ilvl w:val="0"/>
          <w:numId w:val="20"/>
        </w:numPr>
        <w:suppressAutoHyphens/>
        <w:spacing w:before="120" w:after="240" w:line="276" w:lineRule="auto"/>
        <w:ind w:right="-285"/>
      </w:pPr>
      <w:r>
        <w:t>La tolerancia de implantación, definida al nivel de los muretes-guía, y en el lado a excavar, será de veinte milímetros (20 mm) en la dirección de la excavación principal y de cincuenta milímetros (50 mm) en la dirección opuesta.</w:t>
      </w:r>
    </w:p>
    <w:p w:rsidR="00C7085E" w:rsidRDefault="00C7085E" w:rsidP="00B71B1A">
      <w:pPr>
        <w:widowControl/>
        <w:numPr>
          <w:ilvl w:val="0"/>
          <w:numId w:val="20"/>
        </w:numPr>
        <w:suppressAutoHyphens/>
        <w:spacing w:before="120" w:after="240" w:line="276" w:lineRule="auto"/>
        <w:ind w:right="-285"/>
      </w:pPr>
      <w:r>
        <w:t>La tolerancia de verticalidad de los paneles será del uno por ciento (1%) de la profundidad total excavada.</w:t>
      </w:r>
    </w:p>
    <w:p w:rsidR="00C7085E" w:rsidRDefault="00C7085E" w:rsidP="00B71B1A">
      <w:pPr>
        <w:widowControl/>
        <w:numPr>
          <w:ilvl w:val="0"/>
          <w:numId w:val="20"/>
        </w:numPr>
        <w:suppressAutoHyphens/>
        <w:spacing w:before="120" w:after="240" w:line="276" w:lineRule="auto"/>
        <w:ind w:left="714" w:right="-285" w:hanging="357"/>
      </w:pPr>
      <w:r>
        <w:t xml:space="preserve">La tolerancia, considerando el plano de la cara excavada, de los paneles hormigonados deberá ser inferior a cien milímetros (100 mm) en caso de protuberancias, e inferior a veinte milímetros (20 mm) en caso de agujeros. El </w:t>
      </w:r>
      <w:r>
        <w:lastRenderedPageBreak/>
        <w:t>"tecleo" entre superficies contiguas de la junta no deberá ser mayor de ciento cincuenta milímetros (150 mm).</w:t>
      </w:r>
    </w:p>
    <w:p w:rsidR="00C7085E" w:rsidRDefault="00C7085E" w:rsidP="00B71B1A">
      <w:pPr>
        <w:widowControl/>
        <w:numPr>
          <w:ilvl w:val="0"/>
          <w:numId w:val="20"/>
        </w:numPr>
        <w:suppressAutoHyphens/>
        <w:spacing w:before="120" w:after="240" w:line="276" w:lineRule="auto"/>
        <w:ind w:right="-285"/>
      </w:pPr>
      <w:r>
        <w:t>La anchura y la profundidad de la excavación no deberán ser en ningún caso inferiores a los valores recogidos en Proyecto.</w:t>
      </w:r>
    </w:p>
    <w:p w:rsidR="00C7085E" w:rsidRDefault="00C7085E" w:rsidP="00B71B1A">
      <w:pPr>
        <w:widowControl/>
        <w:numPr>
          <w:ilvl w:val="0"/>
          <w:numId w:val="20"/>
        </w:numPr>
        <w:suppressAutoHyphens/>
        <w:spacing w:before="120" w:after="240" w:line="276" w:lineRule="auto"/>
        <w:ind w:right="-285"/>
      </w:pPr>
      <w:r>
        <w:t>La tolerancia en la longitud del panel no será superior a cincuenta milímetros (50 mm).</w:t>
      </w:r>
    </w:p>
    <w:p w:rsidR="00C7085E" w:rsidRDefault="00C7085E" w:rsidP="00B71B1A">
      <w:pPr>
        <w:widowControl/>
        <w:numPr>
          <w:ilvl w:val="0"/>
          <w:numId w:val="20"/>
        </w:numPr>
        <w:suppressAutoHyphens/>
        <w:spacing w:before="120" w:after="240" w:line="276" w:lineRule="auto"/>
        <w:ind w:right="-285"/>
      </w:pPr>
      <w:r>
        <w:t>La longitud total de la jaula de armadura deberá ser igual a la recogida en Proyecto, más menos diez milímetros (10 mm).</w:t>
      </w:r>
    </w:p>
    <w:p w:rsidR="00C7085E" w:rsidRDefault="00C7085E" w:rsidP="00B71B1A">
      <w:pPr>
        <w:widowControl/>
        <w:numPr>
          <w:ilvl w:val="0"/>
          <w:numId w:val="20"/>
        </w:numPr>
        <w:suppressAutoHyphens/>
        <w:spacing w:before="120" w:after="240" w:line="276" w:lineRule="auto"/>
        <w:ind w:right="-285"/>
      </w:pPr>
      <w:r>
        <w:t>Las cotas de los elementos singulares, tales como empalmes, armaduras de espera, refuerzos para zonas de anclajes, deberán ser iguales, después del hormigonado, a los valores de Proyecto en más o en menos de setenta milímetros (</w:t>
      </w:r>
      <w:r>
        <w:rPr>
          <w:rFonts w:cs="Arial"/>
        </w:rPr>
        <w:t>±</w:t>
      </w:r>
      <w:r>
        <w:t>70 mm).</w:t>
      </w:r>
    </w:p>
    <w:p w:rsidR="00C7085E" w:rsidRDefault="00C7085E" w:rsidP="00B71B1A">
      <w:pPr>
        <w:widowControl/>
        <w:numPr>
          <w:ilvl w:val="0"/>
          <w:numId w:val="20"/>
        </w:numPr>
        <w:suppressAutoHyphens/>
        <w:spacing w:before="120" w:after="240" w:line="276" w:lineRule="auto"/>
        <w:ind w:right="-285"/>
      </w:pPr>
      <w:r>
        <w:t>La cota de la parte superior de la jaula deberá ser igual, después de hormigonar, al valor de Proyecto en más o en menos de cincuenta milímetros (</w:t>
      </w:r>
      <w:r>
        <w:rPr>
          <w:rFonts w:cs="Arial"/>
        </w:rPr>
        <w:t>±</w:t>
      </w:r>
      <w:r>
        <w:t xml:space="preserve"> 50 mm).</w:t>
      </w:r>
    </w:p>
    <w:p w:rsidR="00C7085E" w:rsidRDefault="00C7085E" w:rsidP="00B71B1A">
      <w:pPr>
        <w:widowControl/>
        <w:numPr>
          <w:ilvl w:val="0"/>
          <w:numId w:val="20"/>
        </w:numPr>
        <w:suppressAutoHyphens/>
        <w:spacing w:before="120" w:after="240" w:line="276" w:lineRule="auto"/>
        <w:ind w:left="714" w:right="-285" w:hanging="357"/>
      </w:pPr>
      <w:r>
        <w:t>La posición horizontal de la jaula, siguiendo el eje de pantalla, deberá ser igual, después de hormigonar, al valor de Proyecto en más o en menos de setenta milímetros (</w:t>
      </w:r>
      <w:r>
        <w:rPr>
          <w:rFonts w:cs="Arial"/>
        </w:rPr>
        <w:t>±</w:t>
      </w:r>
      <w:r>
        <w:t xml:space="preserve"> 70 mm).</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muros pantalla se abonaran por metros cúbicos (m</w:t>
      </w:r>
      <w:r>
        <w:rPr>
          <w:vertAlign w:val="superscript"/>
        </w:rPr>
        <w:t>3</w:t>
      </w:r>
      <w:r>
        <w:t>), deducidos de los planos, multiplicando la superficie de pantalla afectada por el espesor teórico de la misma mediante la aplicación del precio que corresponda de los que figuren en el Cuadro de Precios vigente de Canal de Isabel II Gestión. La profundidad de la pantalla se medirá desde el plano de trabajo hasta la profundidad teórica de las armaduras más veinte centímetros (20 cm). La longitud se medirá horizontalmente.</w:t>
      </w:r>
    </w:p>
    <w:p w:rsidR="00C7085E" w:rsidRDefault="00C7085E" w:rsidP="00B71B1A">
      <w:pPr>
        <w:spacing w:before="120" w:after="240" w:line="276" w:lineRule="auto"/>
        <w:ind w:right="-285"/>
      </w:pPr>
      <w:r>
        <w:t>En el precio se consideran incluidos los siguientes conceptos:</w:t>
      </w:r>
    </w:p>
    <w:p w:rsidR="00C7085E" w:rsidRDefault="00C7085E" w:rsidP="00B71B1A">
      <w:pPr>
        <w:widowControl/>
        <w:numPr>
          <w:ilvl w:val="0"/>
          <w:numId w:val="8"/>
        </w:numPr>
        <w:suppressAutoHyphens/>
        <w:spacing w:before="120" w:after="240" w:line="276" w:lineRule="auto"/>
        <w:ind w:left="714" w:right="-285" w:hanging="357"/>
      </w:pPr>
      <w:r>
        <w:t>excavación</w:t>
      </w:r>
    </w:p>
    <w:p w:rsidR="00C7085E" w:rsidRDefault="00C7085E" w:rsidP="00B71B1A">
      <w:pPr>
        <w:widowControl/>
        <w:numPr>
          <w:ilvl w:val="0"/>
          <w:numId w:val="8"/>
        </w:numPr>
        <w:suppressAutoHyphens/>
        <w:spacing w:before="120" w:after="240" w:line="276" w:lineRule="auto"/>
        <w:ind w:right="-285"/>
      </w:pPr>
      <w:r>
        <w:t>hormigonado</w:t>
      </w:r>
    </w:p>
    <w:p w:rsidR="00C7085E" w:rsidRDefault="00C7085E" w:rsidP="00B71B1A">
      <w:pPr>
        <w:widowControl/>
        <w:numPr>
          <w:ilvl w:val="0"/>
          <w:numId w:val="8"/>
        </w:numPr>
        <w:suppressAutoHyphens/>
        <w:spacing w:before="120" w:after="240" w:line="276" w:lineRule="auto"/>
        <w:ind w:left="714" w:right="-285" w:hanging="357"/>
      </w:pPr>
      <w:r>
        <w:t>parte proporcional de transporte e instalación de equipos</w:t>
      </w:r>
    </w:p>
    <w:p w:rsidR="00C7085E" w:rsidRDefault="00C7085E" w:rsidP="00B71B1A">
      <w:pPr>
        <w:widowControl/>
        <w:numPr>
          <w:ilvl w:val="0"/>
          <w:numId w:val="8"/>
        </w:numPr>
        <w:suppressAutoHyphens/>
        <w:spacing w:before="120" w:after="240" w:line="276" w:lineRule="auto"/>
        <w:ind w:right="-285"/>
      </w:pPr>
      <w:r>
        <w:t>demolición de la coronación de la pantalla hasta llegar al hormigón sano y siempre, como mínimo en una profundidad de treinta centímetros (30 cm).</w:t>
      </w:r>
    </w:p>
    <w:p w:rsidR="00C7085E" w:rsidRDefault="00C7085E" w:rsidP="00B71B1A">
      <w:pPr>
        <w:widowControl/>
        <w:numPr>
          <w:ilvl w:val="0"/>
          <w:numId w:val="8"/>
        </w:numPr>
        <w:suppressAutoHyphens/>
        <w:spacing w:before="120" w:after="240" w:line="276" w:lineRule="auto"/>
        <w:ind w:right="-285"/>
      </w:pPr>
      <w:r>
        <w:t>limpieza y doblado de armaduras</w:t>
      </w:r>
    </w:p>
    <w:p w:rsidR="00C7085E" w:rsidRDefault="00C7085E" w:rsidP="00B71B1A">
      <w:pPr>
        <w:widowControl/>
        <w:numPr>
          <w:ilvl w:val="0"/>
          <w:numId w:val="8"/>
        </w:numPr>
        <w:suppressAutoHyphens/>
        <w:spacing w:before="120" w:after="240" w:line="276" w:lineRule="auto"/>
        <w:ind w:right="-285"/>
      </w:pPr>
      <w:r>
        <w:t>formación de la viga de coronación</w:t>
      </w:r>
    </w:p>
    <w:p w:rsidR="00C7085E" w:rsidRDefault="00C7085E" w:rsidP="00B71B1A">
      <w:pPr>
        <w:widowControl/>
        <w:numPr>
          <w:ilvl w:val="0"/>
          <w:numId w:val="8"/>
        </w:numPr>
        <w:suppressAutoHyphens/>
        <w:spacing w:before="120" w:after="240" w:line="276" w:lineRule="auto"/>
        <w:ind w:right="-285"/>
      </w:pPr>
      <w:r>
        <w:t>saneamiento de las protuberancias que aparezcan en su paramento interior</w:t>
      </w:r>
    </w:p>
    <w:p w:rsidR="00C7085E" w:rsidRDefault="00C7085E" w:rsidP="00B71B1A">
      <w:pPr>
        <w:widowControl/>
        <w:numPr>
          <w:ilvl w:val="0"/>
          <w:numId w:val="8"/>
        </w:numPr>
        <w:suppressAutoHyphens/>
        <w:spacing w:before="120" w:after="240" w:line="276" w:lineRule="auto"/>
        <w:ind w:right="-285"/>
      </w:pPr>
      <w:r>
        <w:lastRenderedPageBreak/>
        <w:t>limpieza y retirada de sobrantes</w:t>
      </w:r>
    </w:p>
    <w:p w:rsidR="00C7085E" w:rsidRDefault="00C7085E" w:rsidP="00B71B1A">
      <w:pPr>
        <w:widowControl/>
        <w:numPr>
          <w:ilvl w:val="0"/>
          <w:numId w:val="8"/>
        </w:numPr>
        <w:suppressAutoHyphens/>
        <w:spacing w:before="120" w:after="240" w:line="276" w:lineRule="auto"/>
        <w:ind w:left="714" w:right="-285" w:hanging="357"/>
      </w:pPr>
      <w:r>
        <w:t>trabajos auxiliares</w:t>
      </w:r>
    </w:p>
    <w:p w:rsidR="00C7085E" w:rsidRDefault="00C7085E" w:rsidP="00B71B1A">
      <w:pPr>
        <w:spacing w:before="120" w:after="240" w:line="276" w:lineRule="auto"/>
        <w:ind w:right="-285"/>
      </w:pPr>
      <w:r>
        <w:t>Los solapes, sólo serán de abono en aquellos casos en los que no sea posible el doblado de las armaduras.</w:t>
      </w:r>
    </w:p>
    <w:p w:rsidR="00C7085E" w:rsidRDefault="00C7085E" w:rsidP="00B71B1A">
      <w:pPr>
        <w:spacing w:before="120" w:after="240" w:line="276" w:lineRule="auto"/>
        <w:ind w:right="-285"/>
      </w:pPr>
      <w:r>
        <w:t>Los muretes-guía se medirán por metros (m) realmente ejecutados y se abonarán mediante la aplicación del precio que corresponda de los que figuren en el Cuadro de Precios vigente de Canal de Isabel II Gestión.</w:t>
      </w:r>
    </w:p>
    <w:p w:rsidR="00C7085E" w:rsidRDefault="00C7085E" w:rsidP="00B71B1A">
      <w:pPr>
        <w:spacing w:before="120" w:after="240" w:line="276" w:lineRule="auto"/>
        <w:ind w:right="-285"/>
      </w:pPr>
      <w:r>
        <w:t>En el precio se consideran incluidas la parte proporcional de excavación en zanja, el encofrado de los muretes y su posterior demolición, la retirada de los escombros y todas las operaciones auxiliares necesarias para la correcta ejecución de la unidad.</w:t>
      </w:r>
    </w:p>
    <w:p w:rsidR="00C7085E" w:rsidRDefault="00C7085E" w:rsidP="00B71B1A">
      <w:pPr>
        <w:spacing w:before="120" w:after="240" w:line="276" w:lineRule="auto"/>
        <w:ind w:right="-285"/>
      </w:pPr>
      <w:r>
        <w:t>Los lodos bentoníticos se abonarán por metros cúbicos (m</w:t>
      </w:r>
      <w:r>
        <w:rPr>
          <w:vertAlign w:val="superscript"/>
        </w:rPr>
        <w:t>3</w:t>
      </w:r>
      <w:r>
        <w:t>), aplicando al volumen empleado el precio que corresponda de los que figuren en el Cuadro de Precios vigente de Canal de Isabel II Gestión.</w:t>
      </w:r>
    </w:p>
    <w:p w:rsidR="00C7085E" w:rsidRDefault="00C7085E" w:rsidP="00B71B1A">
      <w:pPr>
        <w:spacing w:before="120" w:after="240" w:line="276" w:lineRule="auto"/>
        <w:ind w:right="-285"/>
      </w:pPr>
      <w:r>
        <w:t>El acabado de la cara vista de la pantalla se abonará por metro cuadrado (m</w:t>
      </w:r>
      <w:r>
        <w:rPr>
          <w:vertAlign w:val="superscript"/>
        </w:rPr>
        <w:t>2</w:t>
      </w:r>
      <w:r>
        <w:t>) de superficie terminada, medida sobre planos, mediante la aplicación del precio que corresponda de los que figuren en el Cuadro de Precios vigente de Canal de Isabel II Gestión. En el correspondiente precio se incluye la nivelación y el cepillado de la superficie.</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47" w:name="_Toc414021783"/>
      <w:bookmarkStart w:id="148" w:name="_Toc448741405"/>
      <w:r>
        <w:t>Juntas en estructuras de hormigón</w:t>
      </w:r>
      <w:bookmarkEnd w:id="147"/>
      <w:bookmarkEnd w:id="148"/>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keepNext/>
        <w:keepLines/>
        <w:spacing w:before="120" w:after="240" w:line="276" w:lineRule="auto"/>
        <w:ind w:right="-285"/>
      </w:pPr>
      <w:r>
        <w:t>Las bandas elastoméricas para estanqueidad de juntas son tiras o bandas de material elastomérico, caucho sintético o natural, de sección transversal adecuada para formar un cierre que impida el paso del agua a través de las juntas de las obras de hormigón. Se colocan embebidas en el hormigón según una superficie ortogonal a la de la junta y centrada con ella.</w:t>
      </w:r>
    </w:p>
    <w:p w:rsidR="00C7085E" w:rsidRDefault="00C7085E" w:rsidP="00B71B1A">
      <w:pPr>
        <w:spacing w:before="120" w:after="240" w:line="276" w:lineRule="auto"/>
        <w:ind w:right="-285"/>
      </w:pPr>
      <w:r>
        <w:t>El material elastómero a emplear será: caucho butilo (IIR), caucho termopolímero Etileno-Propileno-Dieno-Monómero (EPDM), caucho de policloporeno (CR) o de Polietileno Clorosulfonado (CSM).</w:t>
      </w:r>
    </w:p>
    <w:p w:rsidR="00C7085E" w:rsidRDefault="00C7085E" w:rsidP="00B71B1A">
      <w:pPr>
        <w:spacing w:before="120" w:after="240" w:line="276" w:lineRule="auto"/>
        <w:ind w:right="-285"/>
      </w:pPr>
      <w:r>
        <w:t>En Proyecto se establecerá la forma y dimensiones de la sección transversal de las bandas, especificando:</w:t>
      </w:r>
    </w:p>
    <w:p w:rsidR="00C7085E" w:rsidRDefault="00C7085E" w:rsidP="00B71B1A">
      <w:pPr>
        <w:widowControl/>
        <w:numPr>
          <w:ilvl w:val="0"/>
          <w:numId w:val="8"/>
        </w:numPr>
        <w:spacing w:before="120" w:after="240" w:line="276" w:lineRule="auto"/>
        <w:ind w:right="-285"/>
      </w:pPr>
      <w:r>
        <w:t>Ancho total.</w:t>
      </w:r>
    </w:p>
    <w:p w:rsidR="00C7085E" w:rsidRDefault="00C7085E" w:rsidP="00B71B1A">
      <w:pPr>
        <w:widowControl/>
        <w:numPr>
          <w:ilvl w:val="0"/>
          <w:numId w:val="8"/>
        </w:numPr>
        <w:spacing w:before="120" w:after="240" w:line="276" w:lineRule="auto"/>
        <w:ind w:right="-285"/>
      </w:pPr>
      <w:r>
        <w:t>Espesor (sin considerar nervios y bulbos).</w:t>
      </w:r>
    </w:p>
    <w:p w:rsidR="00C7085E" w:rsidRDefault="00C7085E" w:rsidP="00B71B1A">
      <w:pPr>
        <w:widowControl/>
        <w:numPr>
          <w:ilvl w:val="0"/>
          <w:numId w:val="8"/>
        </w:numPr>
        <w:spacing w:before="120" w:after="240" w:line="276" w:lineRule="auto"/>
        <w:ind w:right="-285"/>
      </w:pPr>
      <w:r>
        <w:t>Altura y espesor de los nervios, en su caso.</w:t>
      </w:r>
    </w:p>
    <w:p w:rsidR="00C7085E" w:rsidRDefault="00C7085E" w:rsidP="00B71B1A">
      <w:pPr>
        <w:widowControl/>
        <w:numPr>
          <w:ilvl w:val="0"/>
          <w:numId w:val="8"/>
        </w:numPr>
        <w:spacing w:before="120" w:after="240" w:line="276" w:lineRule="auto"/>
        <w:ind w:right="-285"/>
      </w:pPr>
      <w:r>
        <w:t>Dimensiones de los bulbos de anclaje.</w:t>
      </w:r>
    </w:p>
    <w:p w:rsidR="00C7085E" w:rsidRDefault="00C7085E" w:rsidP="00B71B1A">
      <w:pPr>
        <w:widowControl/>
        <w:numPr>
          <w:ilvl w:val="0"/>
          <w:numId w:val="8"/>
        </w:numPr>
        <w:spacing w:before="120" w:after="240" w:line="276" w:lineRule="auto"/>
        <w:ind w:right="-285"/>
      </w:pPr>
      <w:r>
        <w:lastRenderedPageBreak/>
        <w:t>Diámetros interior y exterior del bulbo central, en su caso.</w:t>
      </w:r>
    </w:p>
    <w:p w:rsidR="00C7085E" w:rsidRDefault="00C7085E" w:rsidP="00B71B1A">
      <w:pPr>
        <w:spacing w:before="120" w:after="240" w:line="276" w:lineRule="auto"/>
        <w:ind w:right="-285"/>
      </w:pPr>
      <w:r>
        <w:t>La sección transversal de las bandas será compacta, homogénea y exenta de porosidad, burbujas y otros defectos.</w:t>
      </w:r>
    </w:p>
    <w:p w:rsidR="00C7085E" w:rsidRDefault="00C7085E" w:rsidP="00B71B1A">
      <w:pPr>
        <w:spacing w:before="120" w:after="240" w:line="276" w:lineRule="auto"/>
        <w:ind w:right="-285"/>
      </w:pPr>
      <w:r>
        <w:t>Cuando la junta sea susceptible de movimiento transversal, será obligatorio el empleo de bandas provistas de núcleo central hueco.</w:t>
      </w:r>
    </w:p>
    <w:p w:rsidR="00C7085E" w:rsidRDefault="00C7085E" w:rsidP="00B71B1A">
      <w:pPr>
        <w:spacing w:before="120" w:after="240" w:line="276" w:lineRule="auto"/>
        <w:ind w:right="-285"/>
      </w:pPr>
      <w:r>
        <w:t>El material de anclaje a utilizar será adhesivo (masilla) de resina rígida.</w:t>
      </w:r>
    </w:p>
    <w:p w:rsidR="00C7085E" w:rsidRDefault="00C7085E" w:rsidP="00B71B1A">
      <w:pPr>
        <w:spacing w:before="120" w:after="240" w:line="276" w:lineRule="auto"/>
        <w:ind w:right="-285"/>
      </w:pPr>
      <w:r>
        <w:t xml:space="preserve">Para el sellado de las juntas podrá utilizarse mástic asfáltico, mástic de poliuretano, relleno de poliestireno o resina de poliuretano bicomponente. </w:t>
      </w:r>
    </w:p>
    <w:p w:rsidR="00C7085E" w:rsidRDefault="00C7085E" w:rsidP="00B71B1A">
      <w:pPr>
        <w:spacing w:before="120" w:after="240" w:line="276" w:lineRule="auto"/>
        <w:ind w:right="-285"/>
      </w:pPr>
      <w:r>
        <w:t xml:space="preserve">En el caso de utilizarse perfiles hidroexpansivos, estos estarán compuestos por resinas hidrofílicas sobre caucho natural, de dimensiones mínimas 20 x 5 mm.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widowControl/>
        <w:numPr>
          <w:ilvl w:val="0"/>
          <w:numId w:val="8"/>
        </w:numPr>
        <w:spacing w:before="120" w:after="240" w:line="276" w:lineRule="auto"/>
        <w:ind w:right="-285"/>
      </w:pPr>
      <w:r>
        <w:t>Juntas de dilatación en muros y soleras</w:t>
      </w:r>
    </w:p>
    <w:p w:rsidR="00C7085E" w:rsidRDefault="00C7085E" w:rsidP="00B71B1A">
      <w:pPr>
        <w:spacing w:before="120" w:after="240" w:line="276" w:lineRule="auto"/>
        <w:ind w:right="-285"/>
        <w:rPr>
          <w:rFonts w:eastAsia="Calibri" w:cs="Arial"/>
          <w:szCs w:val="22"/>
        </w:rPr>
      </w:pPr>
      <w:r>
        <w:rPr>
          <w:rFonts w:eastAsia="Calibri" w:cs="Arial"/>
          <w:szCs w:val="22"/>
        </w:rPr>
        <w:t>Las juntas de dilatación de dos centímetros (2 cm) de anchura se impermeabilizarán mediante un sistema de consistente en:</w:t>
      </w:r>
    </w:p>
    <w:p w:rsidR="00C7085E" w:rsidRDefault="00C7085E" w:rsidP="00B71B1A">
      <w:pPr>
        <w:widowControl/>
        <w:numPr>
          <w:ilvl w:val="1"/>
          <w:numId w:val="21"/>
        </w:numPr>
        <w:suppressAutoHyphens/>
        <w:autoSpaceDE/>
        <w:autoSpaceDN/>
        <w:adjustRightInd/>
        <w:spacing w:before="120" w:after="240" w:line="276" w:lineRule="auto"/>
        <w:ind w:left="1094" w:right="-285" w:hanging="357"/>
        <w:rPr>
          <w:rFonts w:eastAsia="Calibri" w:cs="Arial"/>
          <w:szCs w:val="22"/>
        </w:rPr>
      </w:pPr>
      <w:r>
        <w:rPr>
          <w:rFonts w:eastAsia="Calibri" w:cs="Arial"/>
          <w:szCs w:val="22"/>
        </w:rPr>
        <w:t>Junta de PVC con perfil en laberinto embebida en el hormigón entre las dos paredes de la junta de dilatación. Tendrá núcleo central hueco y deberá ser estanca (colocada y deformada). A continuación se rellenaría la junta con poliestirenos expandido.</w:t>
      </w:r>
    </w:p>
    <w:p w:rsidR="00C7085E" w:rsidRDefault="00C7085E" w:rsidP="00B71B1A">
      <w:pPr>
        <w:widowControl/>
        <w:numPr>
          <w:ilvl w:val="1"/>
          <w:numId w:val="21"/>
        </w:numPr>
        <w:suppressAutoHyphens/>
        <w:autoSpaceDE/>
        <w:autoSpaceDN/>
        <w:adjustRightInd/>
        <w:spacing w:before="120" w:after="240" w:line="276" w:lineRule="auto"/>
        <w:ind w:left="1094" w:right="-285" w:hanging="357"/>
        <w:rPr>
          <w:rFonts w:eastAsia="Calibri" w:cs="Arial"/>
          <w:szCs w:val="22"/>
        </w:rPr>
      </w:pPr>
      <w:r>
        <w:rPr>
          <w:rFonts w:eastAsia="Calibri" w:cs="Arial"/>
          <w:szCs w:val="22"/>
        </w:rPr>
        <w:t>Sellado superficial mediante masilla de poliuretano apta para colocación en contacto con agua potable y en situación de inmersión permanente en agua. Deberá tener una capacidad de movimiento permanente del veinticinco por ciento (25%) o superior de su anchura de junta. Se deberá disponer el correspondiente fondo de junta y los labios de la misma deberán ser limpiados y tratados con la correspondiente imprimación de adherencia.</w:t>
      </w:r>
    </w:p>
    <w:p w:rsidR="00C7085E" w:rsidRDefault="00C7085E" w:rsidP="00B71B1A">
      <w:pPr>
        <w:widowControl/>
        <w:numPr>
          <w:ilvl w:val="1"/>
          <w:numId w:val="21"/>
        </w:numPr>
        <w:suppressAutoHyphens/>
        <w:autoSpaceDE/>
        <w:autoSpaceDN/>
        <w:adjustRightInd/>
        <w:spacing w:before="120" w:after="240" w:line="276" w:lineRule="auto"/>
        <w:ind w:left="1094" w:right="-285" w:hanging="357"/>
        <w:rPr>
          <w:rFonts w:eastAsia="Calibri" w:cs="Arial"/>
          <w:szCs w:val="22"/>
        </w:rPr>
      </w:pPr>
      <w:r>
        <w:rPr>
          <w:rFonts w:eastAsia="Calibri" w:cs="Arial"/>
          <w:szCs w:val="22"/>
        </w:rPr>
        <w:t xml:space="preserve">Junta EPDM sobre el hormigón entre las dos paredes de la junta de dilatación. Esta junta consiste en: </w:t>
      </w:r>
    </w:p>
    <w:p w:rsidR="00C7085E" w:rsidRDefault="00C7085E" w:rsidP="00B71B1A">
      <w:pPr>
        <w:widowControl/>
        <w:numPr>
          <w:ilvl w:val="2"/>
          <w:numId w:val="21"/>
        </w:numPr>
        <w:tabs>
          <w:tab w:val="left" w:pos="-1440"/>
          <w:tab w:val="left" w:pos="-720"/>
          <w:tab w:val="left" w:pos="0"/>
          <w:tab w:val="left" w:pos="432"/>
          <w:tab w:val="left" w:pos="1134"/>
          <w:tab w:val="left" w:pos="1418"/>
          <w:tab w:val="left" w:pos="1872"/>
          <w:tab w:val="left" w:pos="1985"/>
          <w:tab w:val="left" w:pos="2592"/>
          <w:tab w:val="left" w:pos="2880"/>
          <w:tab w:val="left" w:pos="3312"/>
          <w:tab w:val="left" w:pos="3600"/>
        </w:tabs>
        <w:suppressAutoHyphens/>
        <w:autoSpaceDE/>
        <w:autoSpaceDN/>
        <w:adjustRightInd/>
        <w:spacing w:before="120" w:after="240" w:line="276" w:lineRule="auto"/>
        <w:ind w:left="1418" w:right="-285" w:hanging="284"/>
        <w:rPr>
          <w:rFonts w:eastAsia="Calibri" w:cs="Arial"/>
        </w:rPr>
      </w:pPr>
      <w:r>
        <w:rPr>
          <w:rFonts w:eastAsia="Calibri" w:cs="Arial"/>
        </w:rPr>
        <w:t>Imprimación en un ancho de 50-60 cm, (30 cm a cada lado del eje de la junta) con resina de poliuretano bicomponente a razón de 0,2-0,3 kg/ml.</w:t>
      </w:r>
    </w:p>
    <w:p w:rsidR="00C7085E" w:rsidRDefault="00C7085E" w:rsidP="00B71B1A">
      <w:pPr>
        <w:widowControl/>
        <w:numPr>
          <w:ilvl w:val="2"/>
          <w:numId w:val="21"/>
        </w:numPr>
        <w:tabs>
          <w:tab w:val="left" w:pos="-1440"/>
          <w:tab w:val="left" w:pos="-720"/>
          <w:tab w:val="left" w:pos="0"/>
          <w:tab w:val="left" w:pos="432"/>
          <w:tab w:val="left" w:pos="1134"/>
          <w:tab w:val="left" w:pos="1418"/>
          <w:tab w:val="left" w:pos="1872"/>
          <w:tab w:val="left" w:pos="1985"/>
          <w:tab w:val="left" w:pos="2592"/>
          <w:tab w:val="left" w:pos="2880"/>
          <w:tab w:val="left" w:pos="3312"/>
          <w:tab w:val="left" w:pos="3600"/>
        </w:tabs>
        <w:suppressAutoHyphens/>
        <w:autoSpaceDE/>
        <w:autoSpaceDN/>
        <w:adjustRightInd/>
        <w:spacing w:before="120" w:after="240" w:line="276" w:lineRule="auto"/>
        <w:ind w:left="1418" w:right="-285" w:hanging="284"/>
        <w:rPr>
          <w:rFonts w:eastAsia="Calibri" w:cs="Arial"/>
        </w:rPr>
      </w:pPr>
      <w:r>
        <w:rPr>
          <w:rFonts w:eastAsia="Calibri" w:cs="Arial"/>
        </w:rPr>
        <w:t>Aplicación a quince centímetros (15 cm) de la junta masilla rígida de poliuretano bicomponente.</w:t>
      </w:r>
    </w:p>
    <w:p w:rsidR="00C7085E" w:rsidRDefault="00C7085E" w:rsidP="00B71B1A">
      <w:pPr>
        <w:widowControl/>
        <w:numPr>
          <w:ilvl w:val="2"/>
          <w:numId w:val="21"/>
        </w:numPr>
        <w:tabs>
          <w:tab w:val="left" w:pos="-1440"/>
          <w:tab w:val="left" w:pos="-720"/>
          <w:tab w:val="left" w:pos="0"/>
          <w:tab w:val="left" w:pos="432"/>
          <w:tab w:val="left" w:pos="1134"/>
          <w:tab w:val="left" w:pos="1418"/>
          <w:tab w:val="left" w:pos="1872"/>
          <w:tab w:val="left" w:pos="1985"/>
          <w:tab w:val="left" w:pos="2592"/>
          <w:tab w:val="left" w:pos="2880"/>
          <w:tab w:val="left" w:pos="3312"/>
          <w:tab w:val="left" w:pos="3600"/>
        </w:tabs>
        <w:suppressAutoHyphens/>
        <w:autoSpaceDE/>
        <w:autoSpaceDN/>
        <w:adjustRightInd/>
        <w:spacing w:before="120" w:after="240" w:line="276" w:lineRule="auto"/>
        <w:ind w:left="1418" w:right="-285" w:hanging="284"/>
        <w:rPr>
          <w:rFonts w:eastAsia="Calibri" w:cs="Arial"/>
        </w:rPr>
      </w:pPr>
      <w:r>
        <w:rPr>
          <w:rFonts w:eastAsia="Calibri" w:cs="Arial"/>
        </w:rPr>
        <w:t>Colocación de una banda de EPDM agujereada en los extremos de treinta centímetros (30 cm) de anchura.</w:t>
      </w:r>
    </w:p>
    <w:p w:rsidR="00C7085E" w:rsidRDefault="00C7085E" w:rsidP="00B71B1A">
      <w:pPr>
        <w:widowControl/>
        <w:numPr>
          <w:ilvl w:val="2"/>
          <w:numId w:val="21"/>
        </w:numPr>
        <w:tabs>
          <w:tab w:val="left" w:pos="-1440"/>
          <w:tab w:val="left" w:pos="-720"/>
          <w:tab w:val="left" w:pos="0"/>
          <w:tab w:val="left" w:pos="432"/>
          <w:tab w:val="left" w:pos="1134"/>
          <w:tab w:val="left" w:pos="1418"/>
          <w:tab w:val="left" w:pos="1872"/>
          <w:tab w:val="left" w:pos="1985"/>
          <w:tab w:val="left" w:pos="2592"/>
          <w:tab w:val="left" w:pos="2880"/>
          <w:tab w:val="left" w:pos="3312"/>
          <w:tab w:val="left" w:pos="3600"/>
        </w:tabs>
        <w:suppressAutoHyphens/>
        <w:autoSpaceDE/>
        <w:autoSpaceDN/>
        <w:adjustRightInd/>
        <w:spacing w:before="120" w:after="240" w:line="276" w:lineRule="auto"/>
        <w:ind w:left="1418" w:right="-285" w:hanging="284"/>
        <w:rPr>
          <w:rFonts w:eastAsia="Calibri" w:cs="Arial"/>
        </w:rPr>
      </w:pPr>
      <w:r>
        <w:rPr>
          <w:rFonts w:eastAsia="Calibri" w:cs="Arial"/>
        </w:rPr>
        <w:t>Enmasillado de los bordes de la junta con masilla rígida de poliuretano bicomponente.</w:t>
      </w:r>
    </w:p>
    <w:p w:rsidR="00C7085E" w:rsidRDefault="00C7085E" w:rsidP="00B71B1A">
      <w:pPr>
        <w:widowControl/>
        <w:numPr>
          <w:ilvl w:val="2"/>
          <w:numId w:val="21"/>
        </w:numPr>
        <w:tabs>
          <w:tab w:val="left" w:pos="-1440"/>
          <w:tab w:val="left" w:pos="-720"/>
          <w:tab w:val="left" w:pos="0"/>
          <w:tab w:val="left" w:pos="432"/>
          <w:tab w:val="left" w:pos="1134"/>
          <w:tab w:val="left" w:pos="1418"/>
          <w:tab w:val="left" w:pos="1872"/>
          <w:tab w:val="left" w:pos="1985"/>
          <w:tab w:val="left" w:pos="2592"/>
          <w:tab w:val="left" w:pos="2880"/>
          <w:tab w:val="left" w:pos="3312"/>
          <w:tab w:val="left" w:pos="3600"/>
        </w:tabs>
        <w:suppressAutoHyphens/>
        <w:autoSpaceDE/>
        <w:autoSpaceDN/>
        <w:adjustRightInd/>
        <w:spacing w:before="120" w:after="240" w:line="276" w:lineRule="auto"/>
        <w:ind w:left="1418" w:right="-285" w:hanging="284"/>
        <w:rPr>
          <w:rFonts w:eastAsia="Calibri" w:cs="Arial"/>
        </w:rPr>
      </w:pPr>
      <w:r>
        <w:rPr>
          <w:rFonts w:eastAsia="Calibri" w:cs="Arial"/>
        </w:rPr>
        <w:lastRenderedPageBreak/>
        <w:t>Revestimiento elástico de la junta con resina de poliuretano bicomponente con un consumo de 0,2-0,3 kg/ml aplicado en una sola capa.</w:t>
      </w:r>
    </w:p>
    <w:p w:rsidR="00C7085E" w:rsidRDefault="00C7085E" w:rsidP="00B71B1A">
      <w:pPr>
        <w:spacing w:before="120" w:after="240" w:line="276" w:lineRule="auto"/>
        <w:ind w:right="-285"/>
        <w:rPr>
          <w:rFonts w:cs="Arial"/>
        </w:rPr>
      </w:pPr>
      <w:r>
        <w:rPr>
          <w:rFonts w:cs="Arial"/>
        </w:rPr>
        <w:t>Se colocarán juntas de dilatación:</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 xml:space="preserve">Cada 20 m como máximo </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Donde cambie la altura del muro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Donde cambie la profundidad del plano de cimentación</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En todo cambio de dirección en planta.</w:t>
      </w:r>
    </w:p>
    <w:p w:rsidR="00C7085E" w:rsidRDefault="00C7085E" w:rsidP="00B71B1A">
      <w:pPr>
        <w:spacing w:before="120" w:after="240" w:line="276" w:lineRule="auto"/>
        <w:ind w:right="-285"/>
        <w:rPr>
          <w:rFonts w:cs="Arial"/>
        </w:rPr>
      </w:pPr>
      <w:r>
        <w:rPr>
          <w:rFonts w:cs="Arial"/>
        </w:rPr>
        <w:t>Se deberá proyectar las juntas de tal manera que coincidan las de solera con muros.</w:t>
      </w:r>
    </w:p>
    <w:p w:rsidR="00C7085E" w:rsidRDefault="00C7085E" w:rsidP="00B71B1A">
      <w:pPr>
        <w:widowControl/>
        <w:numPr>
          <w:ilvl w:val="0"/>
          <w:numId w:val="8"/>
        </w:numPr>
        <w:spacing w:before="120" w:after="240" w:line="276" w:lineRule="auto"/>
        <w:ind w:right="-285"/>
      </w:pPr>
      <w:r>
        <w:t>Juntas de construcción con perfiles hidroexpansivos</w:t>
      </w:r>
    </w:p>
    <w:p w:rsidR="009A5015" w:rsidRDefault="00C7085E" w:rsidP="00DF30E5">
      <w:pPr>
        <w:spacing w:before="120" w:after="240" w:line="276" w:lineRule="auto"/>
        <w:ind w:right="-285"/>
        <w:rPr>
          <w:b/>
          <w:bCs/>
          <w:szCs w:val="28"/>
        </w:rPr>
      </w:pPr>
      <w:r>
        <w:rPr>
          <w:rFonts w:eastAsia="Calibri" w:cs="Arial"/>
        </w:rPr>
        <w:t>En los arranques de muros se dispondrán perfiles hidroexpansivos compuestos por resinas hidrofílicas sobre caucho natural de 20 x 5 mm de tamaño mínimo situados en el centro del muro. Los perfiles se fijarán según las indicaciones del suministrador, en general clavados o pegados mediante masillas de poliuretano. Se podrá sustituir esta junta hidroexpansiva por junta de PVC, a juicio de la Dirección de Obra.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cs="Arial Negrita"/>
        </w:rPr>
      </w:pPr>
      <w:r>
        <w:t>Control de calidad</w:t>
      </w:r>
    </w:p>
    <w:p w:rsidR="00C7085E" w:rsidRDefault="00C7085E" w:rsidP="00B71B1A">
      <w:pPr>
        <w:spacing w:before="120" w:after="240" w:line="276" w:lineRule="auto"/>
        <w:ind w:right="-285"/>
      </w:pPr>
      <w:r>
        <w:t>Se controlarán todos los materiales que intervienen en la ejecución de la junta, y la comprobación de las prescripciones concernientes a las dimensiones, aspecto general y acabado. Los materiales que no satisfagan las características sometidas a inspección serán rechazadas.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juntas se mediarán por metros (m) realmente colocados y se abonarán al precio que corresponda de los que figuren en el Cuadro de Precios vigente de Canal de Isabel II Gestión.</w:t>
      </w:r>
    </w:p>
    <w:p w:rsidR="00C7085E" w:rsidRDefault="00C7085E" w:rsidP="00B71B1A">
      <w:pPr>
        <w:spacing w:before="120" w:after="240" w:line="276" w:lineRule="auto"/>
        <w:ind w:right="-285"/>
      </w:pPr>
      <w:r>
        <w:t>La unidad incluye todos los materiales y medios auxiliares necesarios para la correcta ejecución de la misma.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49" w:name="_Toc414021784"/>
      <w:bookmarkStart w:id="150" w:name="_Toc448741406"/>
      <w:r>
        <w:t>Acabados de superficies</w:t>
      </w:r>
      <w:bookmarkEnd w:id="149"/>
      <w:bookmarkEnd w:id="150"/>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Una vez sean retirados los encofrados, todas las zonas defectuosas se resanarán y todos los agujeros producidos por las barras de acoplamiento se rellenarán con un mortero de cemento de la misma composición que el usado en el hormigón, excepto para las caras vistas en las que una parte del cemento será BL I 42,5 UNE 80305, con objeto de obtener un color de acabado que iguale el del hormigón circundante. Las zonas defectuosas se repicarán hasta encontrar hormigón macizo y hasta una profundidad no inferior a dos centímetros y medio (2,50 cm). Los bordes de los cortes serán perpendiculares a la superficie del hormigón. Todas las zonas a resanar y como mínimo quince centímetros (15 cm) de la superficie circundante se saturarán de agua antes de tender el mortero.</w:t>
      </w:r>
    </w:p>
    <w:p w:rsidR="00C7085E" w:rsidRDefault="00C7085E" w:rsidP="00B71B1A">
      <w:pPr>
        <w:spacing w:before="120" w:after="240" w:line="276" w:lineRule="auto"/>
        <w:ind w:right="-285"/>
      </w:pPr>
      <w:r>
        <w:lastRenderedPageBreak/>
        <w:t xml:space="preserve">El mortero se amasará, aproximadamente, una hora antes de su tendido y, ocasionalmente, durante este tiempo se volverá a amasar con una paleta sin añadir agua. Se consolidará en su posición y se enrasará hasta dejarlo ligeramente elevado sobre la superficie circundante. </w:t>
      </w:r>
    </w:p>
    <w:p w:rsidR="00C7085E" w:rsidRDefault="00C7085E" w:rsidP="00B71B1A">
      <w:pPr>
        <w:spacing w:before="120" w:after="240" w:line="276" w:lineRule="auto"/>
        <w:ind w:right="-285"/>
      </w:pPr>
      <w:r>
        <w:t>El resanado en superficies vistas se acabará, haciendo juego con las superficies adyacentes, después de que haya fraguado durante una hora o más. Los resanados se curarán tal como se ha especificado para el hormigón. Los agujeros de las barras de acoplamiento se humedecerán con agua y se rellenarán totalmente con mortero. Los agujeros que se prolonguen a través del hormigón se rellenarán por medio de una pistola de inyección o por otro sistema adecuado desde la cara no vista. El exceso de mortero en la cara vista se quitará con un trapo.</w:t>
      </w:r>
    </w:p>
    <w:p w:rsidR="00C7085E" w:rsidRDefault="00C7085E" w:rsidP="00B71B1A">
      <w:pPr>
        <w:keepNext/>
        <w:spacing w:before="120" w:after="240" w:line="276" w:lineRule="auto"/>
        <w:ind w:right="-285"/>
        <w:rPr>
          <w:u w:val="single"/>
        </w:rPr>
      </w:pPr>
      <w:r>
        <w:rPr>
          <w:u w:val="single"/>
        </w:rPr>
        <w:t>Acabado tipo</w:t>
      </w:r>
    </w:p>
    <w:p w:rsidR="00C7085E" w:rsidRDefault="00C7085E" w:rsidP="00B71B1A">
      <w:pPr>
        <w:keepNext/>
        <w:spacing w:before="120" w:after="240" w:line="276" w:lineRule="auto"/>
        <w:ind w:right="-285"/>
      </w:pPr>
      <w:r>
        <w:t>Si no se pide un acabado especial en los planos del Proyecto, todas las superficies vistas llevarán un acabado tipo.</w:t>
      </w:r>
    </w:p>
    <w:p w:rsidR="00C7085E" w:rsidRDefault="00C7085E" w:rsidP="00B71B1A">
      <w:pPr>
        <w:widowControl/>
        <w:numPr>
          <w:ilvl w:val="0"/>
          <w:numId w:val="8"/>
        </w:numPr>
        <w:suppressAutoHyphens/>
        <w:spacing w:before="120" w:after="240" w:line="276" w:lineRule="auto"/>
        <w:ind w:left="714" w:right="-285" w:hanging="357"/>
      </w:pPr>
      <w:r>
        <w:t>Superficies no correspondientes a los encofrados</w:t>
      </w:r>
    </w:p>
    <w:p w:rsidR="00C7085E" w:rsidRDefault="00C7085E" w:rsidP="00B71B1A">
      <w:pPr>
        <w:pStyle w:val="vietas"/>
        <w:suppressAutoHyphens/>
        <w:spacing w:before="120" w:line="276" w:lineRule="auto"/>
        <w:ind w:right="-285"/>
      </w:pPr>
      <w:r>
        <w:t>Pavimentos de hormigón</w:t>
      </w:r>
    </w:p>
    <w:p w:rsidR="00C7085E" w:rsidRDefault="00C7085E" w:rsidP="00B71B1A">
      <w:pPr>
        <w:spacing w:before="120" w:after="240" w:line="276" w:lineRule="auto"/>
        <w:ind w:left="737" w:right="-285"/>
      </w:pPr>
      <w:r>
        <w:t>La superficie del hormigón se enrasará por medio de una plantilla que avanzará con un movimiento combinado longitudinal y transversal. Durante el transcurso de esta operación se mantendrá un ligero exceso de hormigón por delante de la plantilla. Después del enrasado, el hormigón se fratasará longitudinalmente en un fratás de madera; efectuado esto, la superficie se comprobará con un escantillón, corrigiendo y volviendo a fratasar si fuera necesario. El acabado final se obtendrá con un fratás de correa. El fratás se colocará de plano sobre la superficie del hormigón y se adelantará con un movimiento de sierra, que se prolongará hasta obtener una superficie lisa, pero arenosa y no resbaladiza. Los cantos y juntas se redondearán con un descantillador de doce milímetros (12 mm) de radio.</w:t>
      </w:r>
    </w:p>
    <w:p w:rsidR="00C7085E" w:rsidRDefault="00C7085E" w:rsidP="00B71B1A">
      <w:pPr>
        <w:pStyle w:val="vietas"/>
        <w:suppressAutoHyphens/>
        <w:spacing w:before="120" w:line="276" w:lineRule="auto"/>
        <w:ind w:right="-285"/>
      </w:pPr>
      <w:r>
        <w:t>Aceras</w:t>
      </w:r>
    </w:p>
    <w:p w:rsidR="00C7085E" w:rsidRDefault="00C7085E" w:rsidP="00B71B1A">
      <w:pPr>
        <w:spacing w:before="120" w:after="240" w:line="276" w:lineRule="auto"/>
        <w:ind w:left="737" w:right="-285"/>
      </w:pPr>
      <w:r>
        <w:t>La superficie se enrasará tal como se ha especificado para los pavimentos. Después se acabará a mano con un fratás de madera hasta obtener una superficie lisa y arenosa. Los cantos y juntas se redondearán con un descantillador hasta un radio de seis milímetros (6 mm).</w:t>
      </w:r>
    </w:p>
    <w:p w:rsidR="00C7085E" w:rsidRDefault="00C7085E" w:rsidP="00B71B1A">
      <w:pPr>
        <w:spacing w:before="120" w:after="240" w:line="276" w:lineRule="auto"/>
        <w:ind w:right="-285"/>
      </w:pPr>
      <w:r>
        <w:t>Las superficies sin acabado específico se terminarán con fratases de madera hasta alisarlas.</w:t>
      </w:r>
    </w:p>
    <w:p w:rsidR="00C7085E" w:rsidRDefault="00C7085E" w:rsidP="00B71B1A">
      <w:pPr>
        <w:keepNext/>
        <w:widowControl/>
        <w:numPr>
          <w:ilvl w:val="0"/>
          <w:numId w:val="8"/>
        </w:numPr>
        <w:suppressAutoHyphens/>
        <w:spacing w:before="120" w:after="240" w:line="276" w:lineRule="auto"/>
        <w:ind w:left="714" w:right="-285" w:hanging="357"/>
      </w:pPr>
      <w:r>
        <w:t>Superficies correspondientes al encofrado</w:t>
      </w:r>
    </w:p>
    <w:p w:rsidR="00C7085E" w:rsidRDefault="00C7085E" w:rsidP="00B71B1A">
      <w:pPr>
        <w:spacing w:before="120" w:after="240" w:line="276" w:lineRule="auto"/>
        <w:ind w:right="-285"/>
      </w:pPr>
      <w:r>
        <w:t>Además del resanado de las zonas defectuosas y relleno de los orificios de las barras, se eliminarán cuidadosamente todas las rebabas y otras protuberancias, nivelando todas las irregularidades.</w:t>
      </w:r>
    </w:p>
    <w:p w:rsidR="002B7B4D" w:rsidRDefault="002B7B4D" w:rsidP="00B71B1A">
      <w:pPr>
        <w:widowControl/>
        <w:autoSpaceDE/>
        <w:autoSpaceDN/>
        <w:adjustRightInd/>
        <w:spacing w:line="276" w:lineRule="auto"/>
        <w:ind w:right="-285"/>
        <w:jc w:val="left"/>
        <w:rPr>
          <w:u w:val="single"/>
        </w:rPr>
      </w:pPr>
      <w:r>
        <w:rPr>
          <w:u w:val="single"/>
        </w:rPr>
        <w:br w:type="page"/>
      </w:r>
    </w:p>
    <w:p w:rsidR="00C7085E" w:rsidRDefault="00C7085E" w:rsidP="00B71B1A">
      <w:pPr>
        <w:spacing w:before="120" w:after="240" w:line="276" w:lineRule="auto"/>
        <w:ind w:right="-285"/>
        <w:rPr>
          <w:u w:val="single"/>
        </w:rPr>
      </w:pPr>
      <w:r>
        <w:rPr>
          <w:u w:val="single"/>
        </w:rPr>
        <w:lastRenderedPageBreak/>
        <w:t>Acabados especiales</w:t>
      </w:r>
    </w:p>
    <w:p w:rsidR="00C7085E" w:rsidRDefault="00C7085E" w:rsidP="00B71B1A">
      <w:pPr>
        <w:spacing w:before="120" w:after="240" w:line="276" w:lineRule="auto"/>
        <w:ind w:right="-285"/>
      </w:pPr>
      <w:r>
        <w:t>Estos se emplearán en las superficies de hormigón vistas, solamente cuando así se requiera en el Proyecto. Para acabados especialmente lisos, se construirá, de acuerdo con los requisitos establecidos a este fin, una sección de la parte no vista de la estructura, tal como un muro de cimentación. Si el acabado de esta sección se ajusta al especificado, se empleará como lienzo de muestra; en otro caso, se prepararán otras secciones hasta obtener el acabado especificado. Cuando así se pida en el Proyecto, los acabados especialmente lisos recibirán la lechada de limpieza especificada en este artículo.</w:t>
      </w:r>
    </w:p>
    <w:p w:rsidR="00C7085E" w:rsidRDefault="00C7085E" w:rsidP="00B71B1A">
      <w:pPr>
        <w:pStyle w:val="vietas"/>
        <w:numPr>
          <w:ilvl w:val="0"/>
          <w:numId w:val="22"/>
        </w:numPr>
        <w:suppressAutoHyphens/>
        <w:spacing w:before="120" w:line="276" w:lineRule="auto"/>
        <w:ind w:right="-285"/>
      </w:pPr>
      <w:r>
        <w:t>Acabado especial liso</w:t>
      </w:r>
    </w:p>
    <w:p w:rsidR="00C7085E" w:rsidRDefault="00C7085E" w:rsidP="00B71B1A">
      <w:pPr>
        <w:spacing w:before="120" w:after="240" w:line="276" w:lineRule="auto"/>
        <w:ind w:left="737" w:right="-285"/>
      </w:pPr>
      <w:r>
        <w:t>Las superficies serán de aspecto uniforme, liso y exento de rebabas, depresiones y abombamientos.</w:t>
      </w:r>
    </w:p>
    <w:p w:rsidR="00C7085E" w:rsidRDefault="00C7085E" w:rsidP="00B71B1A">
      <w:pPr>
        <w:pStyle w:val="vietas"/>
        <w:numPr>
          <w:ilvl w:val="0"/>
          <w:numId w:val="22"/>
        </w:numPr>
        <w:suppressAutoHyphens/>
        <w:spacing w:before="120" w:line="276" w:lineRule="auto"/>
        <w:ind w:right="-285"/>
      </w:pPr>
      <w:r>
        <w:t>Acabado frotado (apomazado)</w:t>
      </w:r>
    </w:p>
    <w:p w:rsidR="00C7085E" w:rsidRDefault="00C7085E" w:rsidP="00B71B1A">
      <w:pPr>
        <w:spacing w:before="120" w:after="240" w:line="276" w:lineRule="auto"/>
        <w:ind w:left="737" w:right="-285"/>
      </w:pPr>
      <w:r>
        <w:t>Cuando sea factible se retirarán los encofrados antes de que el hormigón haya llegado a un fraguado duro, poniendo el debido cuidado para garantizar la seguridad de la estructura. Inmediatamente después de retirados los encofrados, la superficie se humedecerá totalmente con agua frotándola con carborundo, u otro abrasivo, hasta obtener un acabado continuo, liso y de aspecto uniforme. A la terminación de esta operación la superficie se lavará perfectamente con agua limpia.</w:t>
      </w:r>
    </w:p>
    <w:p w:rsidR="00C7085E" w:rsidRDefault="00C7085E" w:rsidP="00B71B1A">
      <w:pPr>
        <w:pStyle w:val="vietas"/>
        <w:numPr>
          <w:ilvl w:val="0"/>
          <w:numId w:val="22"/>
        </w:numPr>
        <w:suppressAutoHyphens/>
        <w:spacing w:before="120" w:line="276" w:lineRule="auto"/>
        <w:ind w:right="-285"/>
      </w:pPr>
      <w:r>
        <w:t>Acabado cepillado</w:t>
      </w:r>
    </w:p>
    <w:p w:rsidR="00C7085E" w:rsidRDefault="00C7085E" w:rsidP="00B71B1A">
      <w:pPr>
        <w:spacing w:before="120" w:after="240" w:line="276" w:lineRule="auto"/>
        <w:ind w:left="737" w:right="-285"/>
      </w:pPr>
      <w:r>
        <w:t xml:space="preserve">Se retirarán los encofrados estando aún fresco el hormigón y la superficie se cepillará con cepillos de cerdas duras o de fibra de alambre, haciendo uso libremente del agua, hasta que el árido quede uniformemente descubierto en la extensión apropiada. Después se lavará la superficie con agua limpia. </w:t>
      </w:r>
    </w:p>
    <w:p w:rsidR="00C7085E" w:rsidRDefault="00C7085E" w:rsidP="00B71B1A">
      <w:pPr>
        <w:spacing w:before="120" w:after="240" w:line="276" w:lineRule="auto"/>
        <w:ind w:left="737" w:right="-285"/>
      </w:pPr>
      <w:r>
        <w:t>Al cepillar se pondrá cuidado en no producir hoyos en la superficie arrancando partículas de árido. Si algunas partes de dicha superficie se hubieran endurecido demasiado para cepillarlo con igual relieve, o si la capa de cemento no se desprende del árido descubierto, a fin de facilitar el cepillado puede hacerse uso de una solución de ácido clorhídrico en las proporciones siguientes: una parte de ácido por cuatro partes de agua. Se eliminará totalmente con agua limpia todo vestigio de ácido.</w:t>
      </w:r>
    </w:p>
    <w:p w:rsidR="00C7085E" w:rsidRDefault="00C7085E" w:rsidP="00B71B1A">
      <w:pPr>
        <w:pStyle w:val="vietas"/>
        <w:numPr>
          <w:ilvl w:val="0"/>
          <w:numId w:val="22"/>
        </w:numPr>
        <w:suppressAutoHyphens/>
        <w:spacing w:before="120" w:line="276" w:lineRule="auto"/>
        <w:ind w:right="-285"/>
      </w:pPr>
      <w:r>
        <w:t>Acabado con fratasado mecánico</w:t>
      </w:r>
    </w:p>
    <w:p w:rsidR="00C7085E" w:rsidRDefault="00C7085E" w:rsidP="00B71B1A">
      <w:pPr>
        <w:spacing w:before="120" w:after="240" w:line="276" w:lineRule="auto"/>
        <w:ind w:left="737" w:right="-285"/>
      </w:pPr>
      <w:r>
        <w:t>En las soleras de hormigón se podrá optar por el acabado con fratasado mecánico, consistente en compactar y alisar la superficie del hormigón mediante la acción mecánica de las fratasadoras mecánicas, también llamadas helicópteros. Estas constan de unas paletas metálicas que forman una especie de hélice y que tomando distintos grados de inclinación hunden los áridos gruesos, aíslan la superficie y compactan el mortero superficial que forma la capa de rodadura.</w:t>
      </w:r>
    </w:p>
    <w:p w:rsidR="00C7085E" w:rsidRDefault="00C7085E" w:rsidP="00B71B1A">
      <w:pPr>
        <w:spacing w:before="120" w:after="240" w:line="276" w:lineRule="auto"/>
        <w:ind w:left="709" w:right="-285"/>
      </w:pPr>
      <w:r>
        <w:lastRenderedPageBreak/>
        <w:t>La fratasadora realiza tres acciones Hunde los áridos gruesos, por lo que la capa superficial consiste en un mortero de cemento; si lleva la capa de rodadura adecuada formada por arena de sílice y cemento se adquirirá una gran dureza. También se puede pigmentar para alcanzar un mayor efecto decorativo. Alisa la superficie eliminando defectos y pequeñas irregularidades. Por último, compacta la superficie.</w:t>
      </w:r>
    </w:p>
    <w:p w:rsidR="00C7085E" w:rsidRDefault="00C7085E" w:rsidP="00B71B1A">
      <w:pPr>
        <w:spacing w:before="120" w:after="240" w:line="276" w:lineRule="auto"/>
        <w:ind w:left="709" w:right="-285"/>
      </w:pPr>
      <w:r>
        <w:t>Para realizar todo el proceso, primero debe ser vertido el hormigón y correctamente extendido. Posteriormente se realizarán las pasadas con una regla vibrante, que alisara la superficie. Más tarde, cuando en el hormigón no se marque huella de más de cinco centímetros (5 cm) y el agua de exudación haya desaparecido se procederá a trabajar con la fratasadora mecánica.</w:t>
      </w:r>
    </w:p>
    <w:p w:rsidR="00C7085E" w:rsidRDefault="00C7085E" w:rsidP="00B71B1A">
      <w:pPr>
        <w:spacing w:before="120" w:after="240" w:line="276" w:lineRule="auto"/>
        <w:ind w:left="709" w:right="-285"/>
      </w:pPr>
      <w:r>
        <w:t>Primero se deberán fratasar manualmente las esquinas y los bordes. El fratasado mecánico primero debe realizarse con las paletas paralelas al pavimento. Según se realicen las sucesivas pasadas, se cambiará la inclinación de las paletas hasta obtener el acabado deseado.</w:t>
      </w:r>
    </w:p>
    <w:p w:rsidR="00C7085E" w:rsidRDefault="00C7085E" w:rsidP="00B71B1A">
      <w:pPr>
        <w:pStyle w:val="vietas"/>
        <w:numPr>
          <w:ilvl w:val="0"/>
          <w:numId w:val="22"/>
        </w:numPr>
        <w:suppressAutoHyphens/>
        <w:spacing w:before="120" w:line="276" w:lineRule="auto"/>
        <w:ind w:right="-285"/>
      </w:pPr>
      <w:r>
        <w:t>Lechada de limpieza</w:t>
      </w:r>
    </w:p>
    <w:p w:rsidR="00C7085E" w:rsidRDefault="00C7085E" w:rsidP="00B71B1A">
      <w:pPr>
        <w:spacing w:before="120" w:after="240" w:line="276" w:lineRule="auto"/>
        <w:ind w:left="737" w:right="-285"/>
      </w:pPr>
      <w:r>
        <w:t xml:space="preserve">Cuando se pida en el Proyecto, los acabados lisos especiales recibirán una lechada de limpieza en la forma siguiente: La lechada consistirá en una parte de cemento CEM I, por una y media de arena fina, amasadas con el agua suficiente para producir una consistencia de pintura espesa como cemento. En su totalidad o en parte, según se ordene, se empleará cemento BL I. Se mojará la superficie del hormigón y se aplicará la lechada uniformemente, a brocha o pistola, hasta rellenar completamente todos los huecos debidos a burbujas de aire. Inmediatamente después de aplicada la lechada, las superficies se frotarán vigorosamente con un fratás de madera o de esponja de goma en los acabados especiales lisos. Durante una o dos horas, según las condiciones atmosféricas, se dejará que la lechada fragüe parcialmente. Con tiempo seco y caluroso se mantendrá húmeda la superficie de la lechada por medio de un rociado pulverizado. Cuando haya endurecido, se raspará toda aquella que pueda desprenderse con el canto de una llana de acero, sin extraer la lechada de los agujeros dejados por las burbujas de aire, La superficie se dejará secar perfectamente y después se frotará vigorosamente con un arpillera seca para arrancar totalmente la lechada. Después de esto no quedará película alguna visible de lechada. </w:t>
      </w:r>
    </w:p>
    <w:p w:rsidR="00C7085E" w:rsidRDefault="00C7085E" w:rsidP="00B71B1A">
      <w:pPr>
        <w:spacing w:before="120" w:after="240" w:line="276" w:lineRule="auto"/>
        <w:ind w:left="737" w:right="-285"/>
      </w:pPr>
      <w:r>
        <w:t>La operación de limpieza para cualquier zona se completará el mismo día que se comience. Después de revocado todo el trabajo, todos aquellos puntos oscuros o vetas que se observen, se limpiarán frotando suavemente con una piedra fina de esmeril; el frotado con la piedra no cambiará la textura del hormigón.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51" w:name="_Toc414021785"/>
      <w:bookmarkStart w:id="152" w:name="_Toc448741407"/>
      <w:r>
        <w:t>Impermeabilización</w:t>
      </w:r>
      <w:bookmarkEnd w:id="151"/>
      <w:bookmarkEnd w:id="152"/>
    </w:p>
    <w:p w:rsidR="00C7085E" w:rsidRDefault="00C7085E" w:rsidP="00B71B1A">
      <w:pPr>
        <w:spacing w:before="120" w:after="240" w:line="276" w:lineRule="auto"/>
        <w:ind w:right="-285"/>
      </w:pPr>
      <w:r>
        <w:t>Este artículo hace referencia a la impermeabilización de elementos de hormigón armado, no siendo de aplicación para las cubiertas de edificación.</w:t>
      </w:r>
    </w:p>
    <w:p w:rsidR="00DF30E5" w:rsidRDefault="00DF30E5" w:rsidP="00B71B1A">
      <w:pPr>
        <w:spacing w:before="120" w:after="240" w:line="276" w:lineRule="auto"/>
        <w:ind w:right="-285"/>
      </w:pP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Materiales</w:t>
      </w:r>
    </w:p>
    <w:p w:rsidR="00C7085E" w:rsidRDefault="00C7085E" w:rsidP="00B71B1A">
      <w:pPr>
        <w:spacing w:before="120" w:after="240" w:line="276" w:lineRule="auto"/>
        <w:ind w:right="-285"/>
      </w:pPr>
      <w:r>
        <w:t>Se efectuará la impermeabilización del conjunto del vaso mediante dos capas de resinas de poliuretano bicomponente específico para dicha función:</w:t>
      </w:r>
    </w:p>
    <w:p w:rsidR="00C7085E" w:rsidRDefault="00C7085E" w:rsidP="00B71B1A">
      <w:pPr>
        <w:widowControl/>
        <w:numPr>
          <w:ilvl w:val="0"/>
          <w:numId w:val="8"/>
        </w:numPr>
        <w:suppressAutoHyphens/>
        <w:spacing w:before="120" w:after="240" w:line="276" w:lineRule="auto"/>
        <w:ind w:left="714" w:right="-285" w:hanging="357"/>
      </w:pPr>
      <w:r>
        <w:t>Debe ser apto para contacto con agua para consumo humano</w:t>
      </w:r>
    </w:p>
    <w:p w:rsidR="00C7085E" w:rsidRDefault="00C7085E" w:rsidP="00B71B1A">
      <w:pPr>
        <w:widowControl/>
        <w:numPr>
          <w:ilvl w:val="0"/>
          <w:numId w:val="8"/>
        </w:numPr>
        <w:suppressAutoHyphens/>
        <w:spacing w:before="120" w:after="240" w:line="276" w:lineRule="auto"/>
        <w:ind w:left="714" w:right="-285" w:hanging="357"/>
      </w:pPr>
      <w:r>
        <w:t>Debe ser flexible con capacidad para puentear microfisuras y sufrir elongaciones de un 20 % sin aparición de fisuras.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Previamente a la aplicación del material de impermeabilización, se limpiarán con agua a presión y se repararán, si fuese necesario, las superficies del vaso que deben quedar libres de coqueras, zonas mal hormigonadas, lechadas superficiales, partículas mal adheridas productos desencofrantes o de curado, etc.</w:t>
      </w:r>
    </w:p>
    <w:p w:rsidR="00C7085E" w:rsidRDefault="00C7085E" w:rsidP="00B71B1A">
      <w:pPr>
        <w:spacing w:before="120" w:after="240" w:line="276" w:lineRule="auto"/>
        <w:ind w:right="-285"/>
      </w:pPr>
      <w:r>
        <w:t>En los encuentros entre elementos, por ejemplo solera y muros se ejecutarán medias cañas para suavizar las esquinas. Estas medias cañas se ejecutarán picando previamente dicho encuentro. No es admisible la colocación de la resina directamente sobre las esquinas sin picar. Las medias cañas deben tener un tamaño mínimo de 5 x 5 cm. Las medias cañas se ejecutarán con morteros aditivados sin retracción.</w:t>
      </w:r>
    </w:p>
    <w:p w:rsidR="00C7085E" w:rsidRDefault="00C7085E" w:rsidP="00B71B1A">
      <w:pPr>
        <w:spacing w:before="120" w:after="240" w:line="276" w:lineRule="auto"/>
        <w:ind w:right="-285"/>
      </w:pPr>
      <w:r>
        <w:t>Igualmente, se sellarán previamente los espadines del encofrado.</w:t>
      </w:r>
    </w:p>
    <w:p w:rsidR="00C7085E" w:rsidRDefault="00C7085E" w:rsidP="00B71B1A">
      <w:pPr>
        <w:spacing w:before="120" w:after="240" w:line="276" w:lineRule="auto"/>
        <w:ind w:right="-285"/>
      </w:pPr>
      <w:r>
        <w:t>La imprimación consistirá en la aplicación de una mano de resina de poliuretano bicomponente con un consumo estimado de 0,4-0,6 kg/m</w:t>
      </w:r>
      <w:r>
        <w:rPr>
          <w:vertAlign w:val="superscript"/>
        </w:rPr>
        <w:t>2</w:t>
      </w:r>
      <w:r>
        <w:t xml:space="preserve"> (dependiendo del soporte), que penetrando en la red capilar del hormigón sirva de anclaje del revestimiento posterior.</w:t>
      </w:r>
    </w:p>
    <w:p w:rsidR="00C7085E" w:rsidRDefault="00C7085E" w:rsidP="00B71B1A">
      <w:pPr>
        <w:spacing w:before="120" w:after="240" w:line="276" w:lineRule="auto"/>
        <w:ind w:right="-285"/>
      </w:pPr>
      <w:r>
        <w:t>El revestimiento consistirá en la aplicación de una capa de una resina de poliuretano, bicomponente, sin disolventes, perfectamente compatible, con un consumo estimado de 0,4-0,5 kg/m</w:t>
      </w:r>
      <w:r>
        <w:rPr>
          <w:vertAlign w:val="superscript"/>
        </w:rPr>
        <w:t>2</w:t>
      </w:r>
      <w:r>
        <w:t xml:space="preserve"> de características elastoplásticas y tixotrópicas, y debe cumplir toda la normativa sobre potabilidad.</w:t>
      </w:r>
    </w:p>
    <w:p w:rsidR="00C7085E" w:rsidRDefault="00C7085E" w:rsidP="00B71B1A">
      <w:pPr>
        <w:spacing w:before="120" w:after="240" w:line="276" w:lineRule="auto"/>
        <w:ind w:right="-285"/>
      </w:pPr>
      <w:r>
        <w:t>La parte interior de la cubierta llevará una protección anticarbonatación.</w:t>
      </w:r>
    </w:p>
    <w:p w:rsidR="00C7085E" w:rsidRDefault="00C7085E" w:rsidP="00B71B1A">
      <w:pPr>
        <w:spacing w:before="120" w:after="240" w:line="276" w:lineRule="auto"/>
        <w:ind w:right="-285"/>
      </w:pPr>
      <w:r>
        <w:t>En el caso de los depósitos de almacenamiento de agua, dado el ambiente húmedo y algo clorado de su interior, las condensaciones en cubierta pueden producir la corrosión acelerada de las armaduras del forjado. Para evitar este fenómeno se adoptarán dos medidas:</w:t>
      </w:r>
    </w:p>
    <w:p w:rsidR="00C7085E" w:rsidRDefault="00C7085E" w:rsidP="00B71B1A">
      <w:pPr>
        <w:widowControl/>
        <w:numPr>
          <w:ilvl w:val="0"/>
          <w:numId w:val="8"/>
        </w:numPr>
        <w:suppressAutoHyphens/>
        <w:spacing w:before="120" w:after="240" w:line="276" w:lineRule="auto"/>
        <w:ind w:left="714" w:right="-285" w:hanging="357"/>
      </w:pPr>
      <w:r>
        <w:t>Colocación de chimeneas de aireación en cubierta, rejillas de ventilación en la galería del aliviadero e incluso extractores de aire en la misma.</w:t>
      </w:r>
    </w:p>
    <w:p w:rsidR="00C7085E" w:rsidRDefault="00C7085E" w:rsidP="00B71B1A">
      <w:pPr>
        <w:widowControl/>
        <w:numPr>
          <w:ilvl w:val="0"/>
          <w:numId w:val="8"/>
        </w:numPr>
        <w:suppressAutoHyphens/>
        <w:spacing w:before="120" w:after="240" w:line="276" w:lineRule="auto"/>
        <w:ind w:left="714" w:right="-285" w:hanging="357"/>
      </w:pPr>
      <w:r>
        <w:t xml:space="preserve">Protección del interior del forjado mediante pintura acrílica anticarbonatación aplicada en al menos 2 manos. Previamente se procederá a la limpieza mediante agua a presión del forjado para que la superficie quede completamente limpia y libre de </w:t>
      </w:r>
      <w:r>
        <w:lastRenderedPageBreak/>
        <w:t xml:space="preserve">partículas mal adheridas. Se seguirán las especificaciones del suministrador de la pintura de protección.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 impermeabilización se realizará por metros cuadrados (m</w:t>
      </w:r>
      <w:r>
        <w:rPr>
          <w:vertAlign w:val="superscript"/>
        </w:rPr>
        <w:t>2</w:t>
      </w:r>
      <w:r>
        <w:t>) realmente ejecutados y se abonará al precio que corresponda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53" w:name="_Toc414021786"/>
      <w:bookmarkStart w:id="154" w:name="_Toc448741408"/>
      <w:r>
        <w:t>Prueba de estanqueidad de muros y solera de las estructuras de hormigón</w:t>
      </w:r>
      <w:bookmarkEnd w:id="153"/>
      <w:bookmarkEnd w:id="154"/>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El Adjudicatario deberá garantizar la estanqueidad de los depósitos y tanques de hormigón para lo cual, ante la no existencia de normativa española, se seguirán las especificaciones indicadas en la norma inglesa BS 8007.</w:t>
      </w:r>
    </w:p>
    <w:p w:rsidR="00C7085E" w:rsidRDefault="00C7085E" w:rsidP="00B71B1A">
      <w:pPr>
        <w:spacing w:before="120" w:after="240" w:line="276" w:lineRule="auto"/>
        <w:ind w:right="-285"/>
        <w:rPr>
          <w:szCs w:val="22"/>
        </w:rPr>
      </w:pPr>
      <w:r>
        <w:rPr>
          <w:szCs w:val="22"/>
        </w:rPr>
        <w:t>Previamente a la realización del ensayo se deberá:</w:t>
      </w:r>
    </w:p>
    <w:p w:rsidR="00C7085E" w:rsidRDefault="00C7085E" w:rsidP="00B71B1A">
      <w:pPr>
        <w:widowControl/>
        <w:numPr>
          <w:ilvl w:val="0"/>
          <w:numId w:val="8"/>
        </w:numPr>
        <w:suppressAutoHyphens/>
        <w:spacing w:before="120" w:after="240" w:line="276" w:lineRule="auto"/>
        <w:ind w:left="714" w:right="-285" w:hanging="357"/>
      </w:pPr>
      <w:r>
        <w:t>Asegurar que los dispositivos de evacuación de agua están disponibles y que funcionan correctamente.</w:t>
      </w:r>
    </w:p>
    <w:p w:rsidR="00C7085E" w:rsidRDefault="00C7085E" w:rsidP="00B71B1A">
      <w:pPr>
        <w:widowControl/>
        <w:numPr>
          <w:ilvl w:val="0"/>
          <w:numId w:val="8"/>
        </w:numPr>
        <w:suppressAutoHyphens/>
        <w:spacing w:before="120" w:after="240" w:line="276" w:lineRule="auto"/>
        <w:ind w:left="714" w:right="-285" w:hanging="357"/>
      </w:pPr>
      <w:r>
        <w:t>Limpiar las superficies interiores de los tanques de hormigón.</w:t>
      </w:r>
    </w:p>
    <w:p w:rsidR="00C7085E" w:rsidRDefault="00C7085E" w:rsidP="00B71B1A">
      <w:pPr>
        <w:widowControl/>
        <w:numPr>
          <w:ilvl w:val="0"/>
          <w:numId w:val="8"/>
        </w:numPr>
        <w:suppressAutoHyphens/>
        <w:spacing w:before="120" w:after="240" w:line="276" w:lineRule="auto"/>
        <w:ind w:left="714" w:right="-285" w:hanging="357"/>
      </w:pPr>
      <w:r>
        <w:t>Aislar y asegurar todas las conducciones de entrada y de salida.</w:t>
      </w:r>
    </w:p>
    <w:p w:rsidR="00C7085E" w:rsidRDefault="00C7085E" w:rsidP="00B71B1A">
      <w:pPr>
        <w:spacing w:before="120" w:after="240" w:line="276" w:lineRule="auto"/>
        <w:ind w:right="-285"/>
      </w:pPr>
      <w:r>
        <w:t>El procedimiento de ensayo será el siguiente:</w:t>
      </w:r>
    </w:p>
    <w:p w:rsidR="00C7085E" w:rsidRDefault="00C7085E" w:rsidP="00B71B1A">
      <w:pPr>
        <w:widowControl/>
        <w:numPr>
          <w:ilvl w:val="0"/>
          <w:numId w:val="8"/>
        </w:numPr>
        <w:suppressAutoHyphens/>
        <w:spacing w:before="120" w:after="240" w:line="276" w:lineRule="auto"/>
        <w:ind w:left="714" w:right="-285" w:hanging="357"/>
      </w:pPr>
      <w:r>
        <w:t>Llenar lentamente el depósito o tanque de agua hasta el nivel total de llenado. La velocidad de llenado no será superior a los dos metros (2 m) de lámina de agua cada veinticuatro horas. Durante la fase de llenado y posteriores, se registrarán detalladamente la eventual aparición de humedades y flujos de agua a través de fisuras, debiendo detenerse el ensayo si las filtraciones resultasen peligrosas para la integridad de la estructura.</w:t>
      </w:r>
    </w:p>
    <w:p w:rsidR="00C7085E" w:rsidRDefault="00C7085E" w:rsidP="00B71B1A">
      <w:pPr>
        <w:widowControl/>
        <w:numPr>
          <w:ilvl w:val="0"/>
          <w:numId w:val="8"/>
        </w:numPr>
        <w:suppressAutoHyphens/>
        <w:spacing w:before="120" w:after="240" w:line="276" w:lineRule="auto"/>
        <w:ind w:left="714" w:right="-285" w:hanging="357"/>
      </w:pPr>
      <w:r>
        <w:t>Antes de comenzar a controlar el nivel de la lámina de agua, se mantendrá lleno el tanque un periodo de tiempo, para poder distinguir las pérdidas debidas a la absorción inicial del hormigón, de las fisuras autosellantes del resto de las filtraciones existentes. En caso de ser necesario, se restituirá el líquido que por absorción inicial de los paramentos se consuma. Este período de absorción tendrá una duración comprendida entre una semana, para aquellas estructuras calculadas con una anchura máxima de fisura inferior a una décima de milímetro (0,1 mm) y tres semanas, para una anchura máxima de fisura mayor o igual a dos décimas de milímetro (0,2 mm).</w:t>
      </w:r>
    </w:p>
    <w:p w:rsidR="00C7085E" w:rsidRDefault="00C7085E" w:rsidP="00B71B1A">
      <w:pPr>
        <w:widowControl/>
        <w:numPr>
          <w:ilvl w:val="0"/>
          <w:numId w:val="8"/>
        </w:numPr>
        <w:suppressAutoHyphens/>
        <w:spacing w:before="120" w:after="240" w:line="276" w:lineRule="auto"/>
        <w:ind w:left="714" w:right="-285" w:hanging="357"/>
      </w:pPr>
      <w:r>
        <w:t xml:space="preserve">Durante esta fase de estabilización, si procede, se registrarán los caudales filtrados recogidos por la red de drenaje bajo solera. También se verificará si las fisuras </w:t>
      </w:r>
      <w:r>
        <w:lastRenderedPageBreak/>
        <w:t>registradas durante la fase de llenado y la fase de estabilización se han sellado o si siguen provocando filtraciones.</w:t>
      </w:r>
    </w:p>
    <w:p w:rsidR="00C7085E" w:rsidRDefault="00C7085E" w:rsidP="00B71B1A">
      <w:pPr>
        <w:widowControl/>
        <w:numPr>
          <w:ilvl w:val="0"/>
          <w:numId w:val="8"/>
        </w:numPr>
        <w:suppressAutoHyphens/>
        <w:spacing w:before="120" w:after="240" w:line="276" w:lineRule="auto"/>
        <w:ind w:left="714" w:right="-285" w:hanging="357"/>
      </w:pPr>
      <w:r>
        <w:t>Una vez terminada la fase de estabilización y absorción inicial se deberá mantener el depósito o tanque lleno, sin aportación adicional de agua durante al menos siete días, durante los cuales se controlará el nivel de la lámina de agua, como mínimo, cada veinticuatro horas durante la ejecución del ensayo. Para realizar esto se establecerá un punto de referencia fijo. También se registrarán las filtraciones recogidas por la red de drenaje.</w:t>
      </w:r>
    </w:p>
    <w:p w:rsidR="00C7085E" w:rsidRDefault="00C7085E" w:rsidP="00B71B1A">
      <w:pPr>
        <w:widowControl/>
        <w:numPr>
          <w:ilvl w:val="0"/>
          <w:numId w:val="8"/>
        </w:numPr>
        <w:suppressAutoHyphens/>
        <w:spacing w:before="120" w:after="240" w:line="276" w:lineRule="auto"/>
        <w:ind w:left="714" w:right="-285" w:hanging="357"/>
      </w:pPr>
      <w:r>
        <w:t>Se calcularán las pérdidas de agua. Salvo indicación contraria del Pliego de Prescripciones Técnicas Particulares, las pérdidas admisibles no pueden superar los siguientes límites: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 xml:space="preserve"> el dos por mil (2 ‰) del volumen total. </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10 mm de descenso absoluto de la lámina de agua</w:t>
      </w:r>
    </w:p>
    <w:p w:rsidR="00C7085E" w:rsidRDefault="00C7085E" w:rsidP="00B71B1A">
      <w:pPr>
        <w:pStyle w:val="Prrafodelista"/>
        <w:spacing w:before="120" w:after="240"/>
        <w:ind w:right="-285"/>
        <w:rPr>
          <w:rFonts w:ascii="Arial" w:hAnsi="Arial" w:cs="Arial"/>
        </w:rPr>
      </w:pPr>
      <w:r>
        <w:rPr>
          <w:rFonts w:ascii="Arial" w:hAnsi="Arial" w:cs="Arial"/>
        </w:rPr>
        <w:t>En esta disminución no se tiene en cuenta las pérdidas por evaporación y por aporte de lluvia que se corregirán aparte.</w:t>
      </w:r>
    </w:p>
    <w:p w:rsidR="00C7085E" w:rsidRDefault="00C7085E" w:rsidP="00B71B1A">
      <w:pPr>
        <w:widowControl/>
        <w:numPr>
          <w:ilvl w:val="0"/>
          <w:numId w:val="8"/>
        </w:numPr>
        <w:suppressAutoHyphens/>
        <w:spacing w:before="120" w:after="240" w:line="276" w:lineRule="auto"/>
        <w:ind w:left="714" w:right="-285" w:hanging="357"/>
      </w:pPr>
      <w:r>
        <w:t>Se realizará un informe del ensayo recogiendo las conclusiones obtenidas y las posibles propuestas de actuación, en el caso que las pérdidas obtenidas sean superiores a las admisibles.</w:t>
      </w:r>
    </w:p>
    <w:p w:rsidR="00C7085E" w:rsidRDefault="00C7085E" w:rsidP="00B71B1A">
      <w:pPr>
        <w:spacing w:before="120" w:after="240" w:line="276" w:lineRule="auto"/>
        <w:ind w:right="-285"/>
      </w:pPr>
      <w:r>
        <w:t>Las reparaciones de fisuras, juntas, etc deberán efectuarse desde la cara en contacto con el agua. El material empleado deberá tener la flexibilidad adecuada, no reaccionar con el agua y ser compatible con el posterior uso del agua almacenada.</w:t>
      </w:r>
    </w:p>
    <w:p w:rsidR="00C7085E" w:rsidRDefault="00C7085E" w:rsidP="00B71B1A">
      <w:pPr>
        <w:spacing w:before="120" w:after="240" w:line="276" w:lineRule="auto"/>
        <w:ind w:right="-285"/>
      </w:pPr>
      <w:r>
        <w:t>Una vez realizados los trabajos de impermeabilización se realizará otro ensayo de estanqueidad, que igualmente requerirá una primera fase de estabilización.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55" w:name="_Toc414021787"/>
      <w:bookmarkStart w:id="156" w:name="_Toc448741409"/>
      <w:r>
        <w:t>Prueba de estanqueidad cubiertas de depósitos</w:t>
      </w:r>
      <w:bookmarkEnd w:id="155"/>
      <w:bookmarkEnd w:id="156"/>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Previamente a la realización del ensayo se deberá:</w:t>
      </w:r>
    </w:p>
    <w:p w:rsidR="00C7085E" w:rsidRDefault="00C7085E" w:rsidP="00B71B1A">
      <w:pPr>
        <w:widowControl/>
        <w:numPr>
          <w:ilvl w:val="0"/>
          <w:numId w:val="8"/>
        </w:numPr>
        <w:suppressAutoHyphens/>
        <w:spacing w:before="120" w:after="240" w:line="276" w:lineRule="auto"/>
        <w:ind w:left="714" w:right="-285" w:hanging="357"/>
      </w:pPr>
      <w:r>
        <w:t>Asegurar que el compartimento está vacío de agua</w:t>
      </w:r>
    </w:p>
    <w:p w:rsidR="00C7085E" w:rsidRDefault="00C7085E" w:rsidP="00B71B1A">
      <w:pPr>
        <w:widowControl/>
        <w:numPr>
          <w:ilvl w:val="0"/>
          <w:numId w:val="8"/>
        </w:numPr>
        <w:suppressAutoHyphens/>
        <w:spacing w:before="120" w:after="240" w:line="276" w:lineRule="auto"/>
        <w:ind w:left="714" w:right="-285" w:hanging="357"/>
      </w:pPr>
      <w:r>
        <w:t>En el caso de cubiertas planas, realizar previsiones temporales para sellar cualquier pérdida en la cubierta.</w:t>
      </w:r>
    </w:p>
    <w:p w:rsidR="00C7085E" w:rsidRDefault="00C7085E" w:rsidP="00B71B1A">
      <w:pPr>
        <w:widowControl/>
        <w:numPr>
          <w:ilvl w:val="0"/>
          <w:numId w:val="8"/>
        </w:numPr>
        <w:suppressAutoHyphens/>
        <w:spacing w:before="120" w:after="240" w:line="276" w:lineRule="auto"/>
        <w:ind w:left="714" w:right="-285" w:hanging="357"/>
      </w:pPr>
      <w:r>
        <w:t>Realizar los ajustes temporales para conseguir la profundidad de agua necesaria en la cubierta.</w:t>
      </w:r>
    </w:p>
    <w:p w:rsidR="00C7085E" w:rsidRDefault="00C7085E" w:rsidP="00B71B1A">
      <w:pPr>
        <w:spacing w:before="120" w:after="240" w:line="276" w:lineRule="auto"/>
        <w:ind w:right="-285"/>
      </w:pPr>
      <w:r>
        <w:t>El procedimiento de ensayo será el siguiente:</w:t>
      </w:r>
    </w:p>
    <w:p w:rsidR="00C7085E" w:rsidRDefault="00C7085E" w:rsidP="00B71B1A">
      <w:pPr>
        <w:widowControl/>
        <w:numPr>
          <w:ilvl w:val="0"/>
          <w:numId w:val="8"/>
        </w:numPr>
        <w:suppressAutoHyphens/>
        <w:spacing w:before="120" w:after="240" w:line="276" w:lineRule="auto"/>
        <w:ind w:left="714" w:right="-285" w:hanging="357"/>
      </w:pPr>
      <w:r>
        <w:t>En cubiertas planas, se inundará la cubierta con una lámina de al menos veinticinco centímetros (25 cm) de agua durante no menos de veinticuatro horas (24 h)</w:t>
      </w:r>
    </w:p>
    <w:p w:rsidR="00C7085E" w:rsidRDefault="00C7085E" w:rsidP="00B71B1A">
      <w:pPr>
        <w:widowControl/>
        <w:numPr>
          <w:ilvl w:val="0"/>
          <w:numId w:val="8"/>
        </w:numPr>
        <w:suppressAutoHyphens/>
        <w:spacing w:before="120" w:after="240" w:line="276" w:lineRule="auto"/>
        <w:ind w:left="714" w:right="-285" w:hanging="357"/>
      </w:pPr>
      <w:r>
        <w:lastRenderedPageBreak/>
        <w:t>Cuando la geometría de la cubierta impida su inundación, se procederá al regado por aspersión durante al menos seis horas (6 h)</w:t>
      </w:r>
    </w:p>
    <w:p w:rsidR="00C7085E" w:rsidRDefault="00C7085E" w:rsidP="00B71B1A">
      <w:pPr>
        <w:widowControl/>
        <w:numPr>
          <w:ilvl w:val="0"/>
          <w:numId w:val="8"/>
        </w:numPr>
        <w:suppressAutoHyphens/>
        <w:spacing w:before="120" w:after="240" w:line="276" w:lineRule="auto"/>
        <w:ind w:left="714" w:right="-285" w:hanging="357"/>
      </w:pPr>
      <w:r>
        <w:t>Se observará la parte inferior de la cubierta para detectar las pérdidas</w:t>
      </w:r>
    </w:p>
    <w:p w:rsidR="00C7085E" w:rsidRDefault="00C7085E" w:rsidP="00B71B1A">
      <w:pPr>
        <w:widowControl/>
        <w:numPr>
          <w:ilvl w:val="0"/>
          <w:numId w:val="8"/>
        </w:numPr>
        <w:suppressAutoHyphens/>
        <w:spacing w:before="120" w:after="240" w:line="276" w:lineRule="auto"/>
        <w:ind w:left="714" w:right="-285" w:hanging="357"/>
      </w:pPr>
      <w:r>
        <w:t>Se redactará un informe con las condiciones del ensayo y sus resultados</w:t>
      </w:r>
    </w:p>
    <w:p w:rsidR="00C7085E" w:rsidRDefault="00C7085E" w:rsidP="00B71B1A">
      <w:pPr>
        <w:spacing w:before="120" w:after="240" w:line="276" w:lineRule="auto"/>
        <w:ind w:right="-285"/>
      </w:pPr>
      <w:r>
        <w:t>Si aparecieran filtraciones, goteras o manchas de humedad en la cara inferior de la cubierta o en el contacto de ésta con los muros perimetrales durante el ensayo de estanqueidad o inmediatamente después, el Adjudicatario deberá proponer una solución de impermeabilización de la cubierta y repetir el ensayo de estanqueidad una vez efectuada la reparación.</w:t>
      </w:r>
    </w:p>
    <w:p w:rsidR="00C7085E" w:rsidRDefault="00C7085E" w:rsidP="00B71B1A">
      <w:pPr>
        <w:spacing w:before="120" w:after="240" w:line="276" w:lineRule="auto"/>
        <w:ind w:right="-285"/>
      </w:pPr>
      <w:r>
        <w:t>La cubierta del depósito deberá ser impermeable para evitar la contaminación del agua almacenada por la lluvia y los arrastres de la suciedad acumulada en la misma.</w:t>
      </w:r>
    </w:p>
    <w:p w:rsidR="00C7085E" w:rsidRPr="00894B2B" w:rsidRDefault="00796B4E" w:rsidP="00B71B1A">
      <w:pPr>
        <w:pStyle w:val="Ttulo2"/>
        <w:numPr>
          <w:ilvl w:val="1"/>
          <w:numId w:val="5"/>
        </w:numPr>
        <w:snapToGrid/>
        <w:spacing w:before="400" w:after="400" w:line="276" w:lineRule="auto"/>
        <w:ind w:left="0" w:right="-285"/>
        <w:rPr>
          <w:caps w:val="0"/>
        </w:rPr>
      </w:pPr>
      <w:bookmarkStart w:id="157" w:name="_Toc414021788"/>
      <w:bookmarkStart w:id="158" w:name="_Toc448741410"/>
      <w:r w:rsidRPr="00796B4E">
        <w:rPr>
          <w:caps w:val="0"/>
        </w:rPr>
        <w:t>ESTRUCTURAS DE ACERO</w:t>
      </w:r>
      <w:bookmarkEnd w:id="157"/>
      <w:bookmarkEnd w:id="158"/>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59" w:name="_Toc414021789"/>
      <w:bookmarkStart w:id="160" w:name="_Toc448741411"/>
      <w:r>
        <w:t>Estructuras de acero</w:t>
      </w:r>
      <w:bookmarkEnd w:id="159"/>
      <w:bookmarkEnd w:id="160"/>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 xml:space="preserve">El tipo de acero a emplear en perfiles laminados y placas será en general S275JR excepto indicación en contra en planos, según clasificación de la norma UNE-EN 10025: </w:t>
      </w:r>
      <w:r>
        <w:rPr>
          <w:i/>
        </w:rPr>
        <w:t>“Productos laminados en caliente de aceros para estructuras. Parte 1: Condiciones técnicas generales de suministro”.</w:t>
      </w:r>
    </w:p>
    <w:p w:rsidR="00C7085E" w:rsidRDefault="00C7085E" w:rsidP="00B71B1A">
      <w:pPr>
        <w:spacing w:before="120" w:after="240" w:line="276" w:lineRule="auto"/>
        <w:ind w:right="-285"/>
      </w:pPr>
      <w:r>
        <w:t xml:space="preserve">Serán de aplicación las especificaciones que sobre los aceros para perfiles y placas conformados se prescriben en el Real Decreto 751/2011, de 27 de mayo, por el que se aprueba la Instrucción de Acero Estructural (EAE). </w:t>
      </w:r>
    </w:p>
    <w:p w:rsidR="00C7085E" w:rsidRDefault="00C7085E" w:rsidP="00B71B1A">
      <w:pPr>
        <w:spacing w:before="120" w:after="240" w:line="276" w:lineRule="auto"/>
        <w:ind w:right="-285"/>
      </w:pPr>
      <w:r>
        <w:t>El almacenamiento se realizará de forma que no están expuestos a una oxidación directa, a la acción de atmósferas agresivas, ni se manchan de grasa, ligantes o aceites.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Serán de aplicación los artículos del título 6 de la EAE.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Serán de aplicación los artículos del título 7 de la EAE.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 xml:space="preserve">Se abonarán por kilogramo (kg) realmente colocado de perfiles laminados en caliente para vigas, pilares, zunchos y correas, mediante uniones soldadas atendiendo a los planos aprobados, con la aplicación del precio que corresponda del Cuadro de Precios vigente de Canal de Isabel II Gestión. En el precio correspondiente se considera incluido el suministro y </w:t>
      </w:r>
      <w:r>
        <w:lastRenderedPageBreak/>
        <w:t>montaje, la parte proporcional de soldaduras, cortes, piezas especiales, despuntes y dos manos de imprimación con pintura de minio de plomo, totalmente montado y colocado, según normativa vigente.</w:t>
      </w:r>
    </w:p>
    <w:p w:rsidR="00C7085E" w:rsidRDefault="00C7085E" w:rsidP="00B71B1A">
      <w:pPr>
        <w:spacing w:before="120" w:after="240" w:line="276" w:lineRule="auto"/>
        <w:ind w:right="-285"/>
      </w:pPr>
      <w:r>
        <w:t>La protección contra la oxidación de los elementos metálicos mediante galvanización con cinc se medirá por kilogramo (kg) de peso teórico del material tratado y se abonará mediante la aplicación del precio que corresponda del Cuadro de Precios vigente de Canal de Isabel II Gestión.</w:t>
      </w:r>
    </w:p>
    <w:p w:rsidR="00C7085E" w:rsidRDefault="00C7085E" w:rsidP="00B71B1A">
      <w:pPr>
        <w:spacing w:before="120" w:after="240" w:line="276" w:lineRule="auto"/>
        <w:ind w:right="-285"/>
      </w:pPr>
      <w:r>
        <w:t>En dicho precio se considera incluido:</w:t>
      </w:r>
    </w:p>
    <w:p w:rsidR="00C7085E" w:rsidRDefault="00C7085E" w:rsidP="00B71B1A">
      <w:pPr>
        <w:pStyle w:val="Prrafodelista"/>
        <w:numPr>
          <w:ilvl w:val="0"/>
          <w:numId w:val="23"/>
        </w:numPr>
        <w:autoSpaceDE w:val="0"/>
        <w:autoSpaceDN w:val="0"/>
        <w:adjustRightInd w:val="0"/>
        <w:spacing w:before="120" w:after="240"/>
        <w:ind w:left="714" w:right="-285" w:hanging="357"/>
        <w:rPr>
          <w:rFonts w:ascii="Arial" w:hAnsi="Arial" w:cs="Arial"/>
        </w:rPr>
      </w:pPr>
      <w:r>
        <w:rPr>
          <w:rFonts w:ascii="Arial" w:hAnsi="Arial" w:cs="Arial"/>
        </w:rPr>
        <w:t>El transporte, la carga y descarga a taller de galvanización.</w:t>
      </w:r>
    </w:p>
    <w:p w:rsidR="00C7085E" w:rsidRDefault="00C7085E" w:rsidP="00B71B1A">
      <w:pPr>
        <w:pStyle w:val="Prrafodelista"/>
        <w:numPr>
          <w:ilvl w:val="0"/>
          <w:numId w:val="23"/>
        </w:numPr>
        <w:autoSpaceDE w:val="0"/>
        <w:autoSpaceDN w:val="0"/>
        <w:adjustRightInd w:val="0"/>
        <w:spacing w:before="120" w:after="240"/>
        <w:ind w:left="714" w:right="-285" w:hanging="357"/>
        <w:rPr>
          <w:rFonts w:ascii="Arial" w:hAnsi="Arial" w:cs="Arial"/>
        </w:rPr>
      </w:pPr>
      <w:r>
        <w:rPr>
          <w:rFonts w:ascii="Arial" w:hAnsi="Arial" w:cs="Arial"/>
        </w:rPr>
        <w:t>La preparación del material.</w:t>
      </w:r>
    </w:p>
    <w:p w:rsidR="00C7085E" w:rsidRDefault="00C7085E" w:rsidP="00B71B1A">
      <w:pPr>
        <w:pStyle w:val="Prrafodelista"/>
        <w:numPr>
          <w:ilvl w:val="0"/>
          <w:numId w:val="23"/>
        </w:numPr>
        <w:autoSpaceDE w:val="0"/>
        <w:autoSpaceDN w:val="0"/>
        <w:adjustRightInd w:val="0"/>
        <w:spacing w:before="120" w:after="240"/>
        <w:ind w:left="714" w:right="-285" w:hanging="357"/>
        <w:rPr>
          <w:rFonts w:ascii="Arial" w:hAnsi="Arial" w:cs="Arial"/>
        </w:rPr>
      </w:pPr>
      <w:r>
        <w:rPr>
          <w:rFonts w:ascii="Arial" w:hAnsi="Arial" w:cs="Arial"/>
        </w:rPr>
        <w:t>El desengrase eliminando mediante tratamientos preliminares restos de pinturas, manchas de grasa, etc.</w:t>
      </w:r>
    </w:p>
    <w:p w:rsidR="00C7085E" w:rsidRDefault="00C7085E" w:rsidP="00B71B1A">
      <w:pPr>
        <w:pStyle w:val="Prrafodelista"/>
        <w:numPr>
          <w:ilvl w:val="0"/>
          <w:numId w:val="23"/>
        </w:numPr>
        <w:autoSpaceDE w:val="0"/>
        <w:autoSpaceDN w:val="0"/>
        <w:adjustRightInd w:val="0"/>
        <w:spacing w:before="120" w:after="240"/>
        <w:ind w:left="714" w:right="-285" w:hanging="357"/>
        <w:rPr>
          <w:rFonts w:ascii="Arial" w:hAnsi="Arial" w:cs="Arial"/>
        </w:rPr>
      </w:pPr>
      <w:r>
        <w:rPr>
          <w:rFonts w:ascii="Arial" w:hAnsi="Arial" w:cs="Arial"/>
        </w:rPr>
        <w:t>El decapado superficial de óxidos por inmersión en ácido sulfúrico o clorhídrico diluido.</w:t>
      </w:r>
    </w:p>
    <w:p w:rsidR="00C7085E" w:rsidRDefault="00C7085E" w:rsidP="00B71B1A">
      <w:pPr>
        <w:pStyle w:val="Prrafodelista"/>
        <w:numPr>
          <w:ilvl w:val="0"/>
          <w:numId w:val="23"/>
        </w:numPr>
        <w:autoSpaceDE w:val="0"/>
        <w:autoSpaceDN w:val="0"/>
        <w:adjustRightInd w:val="0"/>
        <w:spacing w:before="120" w:after="240"/>
        <w:ind w:left="714" w:right="-285" w:hanging="357"/>
        <w:rPr>
          <w:rFonts w:ascii="Arial" w:hAnsi="Arial" w:cs="Arial"/>
        </w:rPr>
      </w:pPr>
      <w:r>
        <w:rPr>
          <w:rFonts w:ascii="Arial" w:hAnsi="Arial" w:cs="Arial"/>
        </w:rPr>
        <w:t>El tratamiento con flujo e inmersión en baño de zinc fundido a través de la cubierta de flujo que flota sobre el material fundido, a temperatura de 445-465 º C.</w:t>
      </w:r>
    </w:p>
    <w:p w:rsidR="00C7085E" w:rsidRDefault="00C7085E" w:rsidP="00B71B1A">
      <w:pPr>
        <w:pStyle w:val="Prrafodelista"/>
        <w:numPr>
          <w:ilvl w:val="0"/>
          <w:numId w:val="23"/>
        </w:numPr>
        <w:autoSpaceDE w:val="0"/>
        <w:autoSpaceDN w:val="0"/>
        <w:adjustRightInd w:val="0"/>
        <w:spacing w:before="120" w:after="240"/>
        <w:ind w:left="714" w:right="-285" w:hanging="357"/>
        <w:rPr>
          <w:rFonts w:ascii="Arial" w:hAnsi="Arial" w:cs="Arial"/>
        </w:rPr>
      </w:pPr>
      <w:r>
        <w:rPr>
          <w:rFonts w:ascii="Arial" w:hAnsi="Arial" w:cs="Arial"/>
        </w:rPr>
        <w:t xml:space="preserve">Nueva carga y transporte sobre camión a obra. </w:t>
      </w:r>
    </w:p>
    <w:p w:rsidR="00C7085E" w:rsidRPr="008B16D6" w:rsidRDefault="00796B4E" w:rsidP="00B71B1A">
      <w:pPr>
        <w:pStyle w:val="Ttulo2"/>
        <w:numPr>
          <w:ilvl w:val="1"/>
          <w:numId w:val="5"/>
        </w:numPr>
        <w:snapToGrid/>
        <w:spacing w:before="400" w:after="400" w:line="276" w:lineRule="auto"/>
        <w:ind w:left="0" w:right="-285"/>
        <w:rPr>
          <w:caps w:val="0"/>
        </w:rPr>
      </w:pPr>
      <w:bookmarkStart w:id="161" w:name="_Toc414021790"/>
      <w:bookmarkStart w:id="162" w:name="_Toc448741412"/>
      <w:r w:rsidRPr="00796B4E">
        <w:rPr>
          <w:caps w:val="0"/>
        </w:rPr>
        <w:t>TUBERÍAS</w:t>
      </w:r>
      <w:bookmarkEnd w:id="161"/>
      <w:bookmarkEnd w:id="162"/>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63" w:name="_Toc414021791"/>
      <w:bookmarkStart w:id="164" w:name="_Toc448741413"/>
      <w:r>
        <w:t>Consideraciones constructivas</w:t>
      </w:r>
      <w:bookmarkEnd w:id="163"/>
      <w:bookmarkEnd w:id="164"/>
    </w:p>
    <w:p w:rsidR="00C7085E" w:rsidRDefault="00C7085E" w:rsidP="00B71B1A">
      <w:pPr>
        <w:keepNext/>
        <w:keepLines/>
        <w:widowControl/>
        <w:numPr>
          <w:ilvl w:val="0"/>
          <w:numId w:val="8"/>
        </w:numPr>
        <w:spacing w:before="120" w:after="240" w:line="276" w:lineRule="auto"/>
        <w:ind w:left="714" w:right="-285" w:hanging="357"/>
      </w:pPr>
      <w:r>
        <w:t>Transporte, almacenamiento y manipulación</w:t>
      </w:r>
    </w:p>
    <w:p w:rsidR="00C7085E" w:rsidRDefault="00C7085E" w:rsidP="00B71B1A">
      <w:pPr>
        <w:spacing w:before="120" w:after="240" w:line="276" w:lineRule="auto"/>
        <w:ind w:right="-285"/>
      </w:pPr>
      <w:r>
        <w:t>Estas operaciones deberán realizarse sin que ninguno de los elementos sufra golpes o rozaduras, teniendo que depositarlos en el suelo sin brusquedades y sin dejarlos caer en ningún momento. En el caso de los tubos, estará prohibido rodarlos sobre piedras.</w:t>
      </w:r>
    </w:p>
    <w:p w:rsidR="00C7085E" w:rsidRDefault="00C7085E" w:rsidP="00B71B1A">
      <w:pPr>
        <w:spacing w:before="120" w:after="240" w:line="276" w:lineRule="auto"/>
        <w:ind w:right="-285"/>
      </w:pPr>
      <w:r>
        <w:t>El transporte desde fábrica se realizará con medios adecuados a las dimensiones de los tubos, solicitándose si es el caso los permisos pertinentes para el transporte por carretera. En cualquier caso, el transporte, deberá hacerse siempre conforme a las vigentes normas de seguridad vial y de tráfico.</w:t>
      </w:r>
    </w:p>
    <w:p w:rsidR="00C7085E" w:rsidRDefault="00C7085E" w:rsidP="00B71B1A">
      <w:pPr>
        <w:spacing w:before="120" w:after="240" w:line="276" w:lineRule="auto"/>
        <w:ind w:right="-285"/>
      </w:pPr>
      <w:r>
        <w:t>Si el transporte incluye tubos de distinto diámetro, será preciso colocarlos en sentido decreciente del mismo desde la hilera de la base hacia arriba, no admitiéndose cargas adicionales sobre los tubos que puedan producir deformaciones excesivas en los mismos. Además se garantizará la inmovilidad de los tubos, apilándolos de forma que no queden en contacto unos con otros, disponiendo para ello cuñas de madera o elementos elásticos. Especial atención deberá prestarse a estos aspectos en el caso de los tubos flexibles y más cuidadosamente para tubos de PRFV.</w:t>
      </w:r>
    </w:p>
    <w:p w:rsidR="00C7085E" w:rsidRDefault="00C7085E" w:rsidP="00B71B1A">
      <w:pPr>
        <w:spacing w:before="120" w:after="240" w:line="276" w:lineRule="auto"/>
        <w:ind w:right="-285"/>
      </w:pPr>
      <w:r>
        <w:t>Los tubos con uniones de enchufe y extremo liso deberán colocarse con los extremos alternados, de modo que los enchufes no queden en contacto con los tubos inferiores.</w:t>
      </w:r>
    </w:p>
    <w:p w:rsidR="00C7085E" w:rsidRDefault="00C7085E" w:rsidP="00B71B1A">
      <w:pPr>
        <w:spacing w:before="120" w:after="240" w:line="276" w:lineRule="auto"/>
        <w:ind w:right="-285"/>
      </w:pPr>
      <w:r>
        <w:lastRenderedPageBreak/>
        <w:t>Cuando los tubos se almacenen sobre el terreno deberá comprobarse que éste será lo suficientemente resistente para soportar las cargas que se le transmitan y lo suficientemente liso para que éstos se apoyen en toda su longitud, sin riesgo de que piedras y otros salientes puedan dañarlos. Las precauciones serán máximas cuando se almacenen tubos de PRFV.</w:t>
      </w:r>
    </w:p>
    <w:p w:rsidR="00C7085E" w:rsidRDefault="00C7085E" w:rsidP="00B71B1A">
      <w:pPr>
        <w:spacing w:before="120" w:after="240" w:line="276" w:lineRule="auto"/>
        <w:ind w:right="-285"/>
      </w:pPr>
      <w:r>
        <w:t>El acopio de los tubos en obra se hará en posición horizontal, sujetos mediante calzos de madera u otros dispositivos que garanticen su inmovilidad. Los tubos de hormigón, si disponen de una solera rígida y se garantizan las debidas condiciones de seguridad, pueden almacenarse en posición vertical, siempre que no se ocasionen daños en sus boquillas al colocarlos en esta posición.</w:t>
      </w:r>
    </w:p>
    <w:p w:rsidR="00C7085E" w:rsidRDefault="00C7085E" w:rsidP="00B71B1A">
      <w:pPr>
        <w:spacing w:before="120" w:after="240" w:line="276" w:lineRule="auto"/>
        <w:ind w:right="-285"/>
      </w:pPr>
      <w:r>
        <w:t>El tiempo de almacenamiento deberá restringirse al mínimo posible, no debiendo prolongarse innecesariamente y, en cualquier caso, habrá que procurar la adecuada protección frente a posibles daños externos, especialmente en los anillos elastoméricos y las válvulas, los cuales deberán situarse en lugar cerrado y protegidos de la luz solar y de temperaturas elevadas. En los tubos de hormigón, en particular, deberá evitarse que sufran secados excesivos o fríos intensos, por lo que se almacenarán en lugares cerrados y protegidos de la luz solar y de temperaturas extremas.</w:t>
      </w:r>
    </w:p>
    <w:p w:rsidR="00C7085E" w:rsidRDefault="00C7085E" w:rsidP="00B71B1A">
      <w:pPr>
        <w:spacing w:before="120" w:after="240" w:line="276" w:lineRule="auto"/>
        <w:ind w:right="-285"/>
      </w:pPr>
      <w:r>
        <w:t>Los tubos de materiales plásticos no deberán estar en contacto con combustibles o disolventes, estarán protegidos de luz solar y su superficie no podrá alcanzar temperaturas superiores a cuarenta y cinco grados centígrados (45ºC).</w:t>
      </w:r>
    </w:p>
    <w:p w:rsidR="00C7085E" w:rsidRDefault="00C7085E" w:rsidP="00B71B1A">
      <w:pPr>
        <w:spacing w:before="120" w:after="240" w:line="276" w:lineRule="auto"/>
        <w:ind w:right="-285"/>
      </w:pPr>
      <w:r>
        <w:t>El acopio de las juntas elastoméricas se realizará en locales cerrados y se tendrán en cuenta las siguientes precauciones:</w:t>
      </w:r>
    </w:p>
    <w:p w:rsidR="00C7085E" w:rsidRDefault="00C7085E" w:rsidP="00B71B1A">
      <w:pPr>
        <w:widowControl/>
        <w:numPr>
          <w:ilvl w:val="0"/>
          <w:numId w:val="8"/>
        </w:numPr>
        <w:suppressAutoHyphens/>
        <w:spacing w:before="120" w:after="240" w:line="276" w:lineRule="auto"/>
        <w:ind w:left="714" w:right="-285" w:hanging="357"/>
      </w:pPr>
      <w:r>
        <w:t xml:space="preserve">Las juntas se mantendrán limpias y no se expondrán a la intemperie hasta el momento de su utilización. </w:t>
      </w:r>
    </w:p>
    <w:p w:rsidR="00C7085E" w:rsidRDefault="00C7085E" w:rsidP="00B71B1A">
      <w:pPr>
        <w:widowControl/>
        <w:numPr>
          <w:ilvl w:val="0"/>
          <w:numId w:val="8"/>
        </w:numPr>
        <w:suppressAutoHyphens/>
        <w:spacing w:before="120" w:after="240" w:line="276" w:lineRule="auto"/>
        <w:ind w:right="-285"/>
      </w:pPr>
      <w:r>
        <w:t>Se almacenarán libres de tensión, compresión u otra deformación. Tampoco podrán almacenarse en locales con equipos capaces de generar ozono, gases de combustión y vapores orgánicos, ni deberán estar en contacto con materiales líquidos o semisólidos, en especial disolventes, aceites y grasas, ni con metales.</w:t>
      </w:r>
    </w:p>
    <w:p w:rsidR="00C7085E" w:rsidRDefault="00C7085E" w:rsidP="00B71B1A">
      <w:pPr>
        <w:widowControl/>
        <w:numPr>
          <w:ilvl w:val="0"/>
          <w:numId w:val="8"/>
        </w:numPr>
        <w:suppressAutoHyphens/>
        <w:spacing w:before="120" w:after="240" w:line="276" w:lineRule="auto"/>
        <w:ind w:right="-285"/>
      </w:pPr>
      <w:r>
        <w:t>La temperatura de almacenaje estará comprendida entre diez y veinticinco grados centígrados (10 y 25º C).</w:t>
      </w:r>
    </w:p>
    <w:p w:rsidR="00C7085E" w:rsidRDefault="00C7085E" w:rsidP="00B71B1A">
      <w:pPr>
        <w:widowControl/>
        <w:numPr>
          <w:ilvl w:val="0"/>
          <w:numId w:val="8"/>
        </w:numPr>
        <w:suppressAutoHyphens/>
        <w:spacing w:before="120" w:after="240" w:line="276" w:lineRule="auto"/>
        <w:ind w:right="-285"/>
      </w:pPr>
      <w:r>
        <w:t>Los anillos elastoméricos se protegerán de la luz, en especial de la radicación solar directa. Se almacenarán en contenedores opacos.</w:t>
      </w:r>
    </w:p>
    <w:p w:rsidR="00C7085E" w:rsidRDefault="00C7085E" w:rsidP="00B71B1A">
      <w:pPr>
        <w:widowControl/>
        <w:numPr>
          <w:ilvl w:val="0"/>
          <w:numId w:val="8"/>
        </w:numPr>
        <w:suppressAutoHyphens/>
        <w:spacing w:before="120" w:after="240" w:line="276" w:lineRule="auto"/>
        <w:ind w:right="-285"/>
      </w:pPr>
      <w:r>
        <w:t>Estos anillos también se protegerán del aire en circulación, envolviéndolos y almacenándolos en envases cerrados.</w:t>
      </w:r>
    </w:p>
    <w:p w:rsidR="00C7085E" w:rsidRDefault="00C7085E" w:rsidP="00B71B1A">
      <w:pPr>
        <w:spacing w:before="120" w:after="240" w:line="276" w:lineRule="auto"/>
        <w:ind w:right="-285"/>
      </w:pPr>
      <w:r>
        <w:t xml:space="preserve">Las operaciones de carga y descarga deberán realizarse de tal manera que los distintos elementos no se golpeen entre sí o contra el suelo. </w:t>
      </w:r>
    </w:p>
    <w:p w:rsidR="00C7085E" w:rsidRDefault="00C7085E" w:rsidP="00B71B1A">
      <w:pPr>
        <w:spacing w:before="120" w:after="240" w:line="276" w:lineRule="auto"/>
        <w:ind w:right="-285"/>
      </w:pPr>
      <w:r>
        <w:t xml:space="preserve">Se procurará que el movimiento de los tubos, una vez descargados, sea mínimo, por lo que </w:t>
      </w:r>
      <w:r>
        <w:lastRenderedPageBreak/>
        <w:t>la descarga se hará, en la medida de lo posible, cerca del lugar donde vayan a ser colocados, evitando que el tubo quede apoyado sobre puntos aislados.</w:t>
      </w:r>
    </w:p>
    <w:p w:rsidR="00C7085E" w:rsidRDefault="00C7085E" w:rsidP="00B71B1A">
      <w:pPr>
        <w:spacing w:before="120" w:after="240" w:line="276" w:lineRule="auto"/>
        <w:ind w:right="-285"/>
      </w:pPr>
      <w:r>
        <w:t>Si la zanja no estuviera abierta en el momento de la descarga de los tubos, estos deberán colocarse en el lado opuesto a aquél en que piensen depositar los productos de la excavación, de tal forma que queden protegidos del tránsito de vehículos, explosivos, etc.</w:t>
      </w:r>
    </w:p>
    <w:p w:rsidR="00C7085E" w:rsidRDefault="00C7085E" w:rsidP="00B71B1A">
      <w:pPr>
        <w:spacing w:before="120" w:after="240" w:line="276" w:lineRule="auto"/>
        <w:ind w:right="-285"/>
      </w:pPr>
      <w:r>
        <w:t>Las operaciones de carga y descarga de los tubos habrá que realizarlas mediante equipos mecánicos, si bien, para diámetros reducidos, podrán emplearse medios manuales. Nunca se suspenderá el tubo por un extremo ni se descargará por lanzamiento. Sí es admisible la descarga mediante estrobos, enganchando para ello las bocas del tubo.</w:t>
      </w:r>
    </w:p>
    <w:p w:rsidR="00C7085E" w:rsidRDefault="00C7085E" w:rsidP="00B71B1A">
      <w:pPr>
        <w:spacing w:before="120" w:after="240" w:line="276" w:lineRule="auto"/>
        <w:ind w:right="-285"/>
      </w:pPr>
      <w:r>
        <w:t>En cualquier caso, no se admitirán dispositivos formados por cables desnudos ni cadenas en contacto con el tubo, siendo recomendable, por el contrario, el uso de bandas de cinta ancha, eslingas recubiertas de caucho o procedimientos de suspensión a base de ventosas.</w:t>
      </w:r>
    </w:p>
    <w:p w:rsidR="00C7085E" w:rsidRDefault="00C7085E" w:rsidP="00B71B1A">
      <w:pPr>
        <w:spacing w:before="120" w:after="240" w:line="276" w:lineRule="auto"/>
        <w:ind w:right="-285"/>
      </w:pPr>
      <w:r>
        <w:t>Cuando se empleen cables metálicos deberán protegerse con un recubrimiento adecuado.</w:t>
      </w:r>
    </w:p>
    <w:p w:rsidR="00C7085E" w:rsidRDefault="00C7085E" w:rsidP="00B71B1A">
      <w:pPr>
        <w:spacing w:before="120" w:after="240" w:line="276" w:lineRule="auto"/>
        <w:ind w:right="-285"/>
      </w:pPr>
      <w:r>
        <w:t>No será admisible la rodadura o el arrastre de los tubos sobre el terreno, máxime si los tubos tienen revestimientos exteriores.</w:t>
      </w:r>
    </w:p>
    <w:p w:rsidR="00C7085E" w:rsidRDefault="00C7085E" w:rsidP="00B71B1A">
      <w:pPr>
        <w:spacing w:before="120" w:after="240" w:line="276" w:lineRule="auto"/>
        <w:ind w:right="-285"/>
      </w:pPr>
      <w:r>
        <w:t>Si los tubos de materiales plásticos se transportan unos dentro de otros, la descarga de los mismos, deberá comenzarse por los del interior. En los tubos de PVC-O, cuando se manejen con temperaturas inferiores a cero grados centígrados (0º C), deberá prestarse especial atención a todas estas operaciones, evitando que sufran golpes.</w:t>
      </w:r>
    </w:p>
    <w:p w:rsidR="00C7085E" w:rsidRDefault="00C7085E" w:rsidP="00B71B1A">
      <w:pPr>
        <w:keepNext/>
        <w:widowControl/>
        <w:numPr>
          <w:ilvl w:val="0"/>
          <w:numId w:val="8"/>
        </w:numPr>
        <w:spacing w:before="120" w:after="240" w:line="276" w:lineRule="auto"/>
        <w:ind w:left="714" w:right="-285" w:hanging="357"/>
      </w:pPr>
      <w:r>
        <w:t>Instalación de tuberías enterradas</w:t>
      </w:r>
    </w:p>
    <w:p w:rsidR="00C7085E" w:rsidRDefault="00C7085E" w:rsidP="00B71B1A">
      <w:pPr>
        <w:spacing w:before="120" w:after="240" w:line="276" w:lineRule="auto"/>
        <w:ind w:right="-285"/>
      </w:pPr>
      <w:r>
        <w:t>Una vez ejecutada la excavación en zanja y previamente a la instalación de la tubería, el Adjudicatario realizará el replanteo previo de toda la traza de la conducción, señalando sus vértices y fijando puntos de referencia, de alineación y de nivel, a partir de los cuales se colocarán los tubos. Se replanteará también la posición de todas las piezas especiales y elementos singulares (valvulería, tomas, etc.). Este replanteo deberá ser aprobado por la Dirección de Obra, antes de iniciarse los trabajos.</w:t>
      </w:r>
    </w:p>
    <w:p w:rsidR="00C7085E" w:rsidRDefault="00C7085E" w:rsidP="00B71B1A">
      <w:pPr>
        <w:spacing w:before="120" w:after="240" w:line="276" w:lineRule="auto"/>
        <w:ind w:right="-285"/>
      </w:pPr>
      <w:r>
        <w:t>Todos los elementos, tuberías, revestimientos de protección interior o exterior, en su caso, accesorios y material de juntas, se inspeccionarán antes del descenso a la zanja para su instalación.</w:t>
      </w:r>
    </w:p>
    <w:p w:rsidR="00C7085E" w:rsidRDefault="00C7085E" w:rsidP="00B71B1A">
      <w:pPr>
        <w:spacing w:before="120" w:after="240" w:line="276" w:lineRule="auto"/>
        <w:ind w:right="-285"/>
      </w:pPr>
      <w:r>
        <w:t>Una vez los tubos en el fondo de la zanja, deberán examinarse de nuevo para cerciorarse de que su interior esté libre de tierra, piedras, suciedad, etc., para a continuación realizar su centrado y alineación. Posteriormente deberán ser calzados y acodalados con un poco de material de relleno para impedir su movimiento.</w:t>
      </w:r>
    </w:p>
    <w:p w:rsidR="00C7085E" w:rsidRDefault="00C7085E" w:rsidP="00B71B1A">
      <w:pPr>
        <w:spacing w:before="120" w:after="240" w:line="276" w:lineRule="auto"/>
        <w:ind w:right="-285"/>
      </w:pPr>
      <w:r>
        <w:t xml:space="preserve">Las tuberías no podrán instalarse de forma tal que el contacto o apoyo sea puntual o una línea de soporte. No podrán apoyarse directamente en el fondo de la zanja, sino que deberán hacerlo en una cama de apoyo, cuya misión es asegurar una distribución uniforme de las presiones exteriores sobre la conducción. </w:t>
      </w:r>
    </w:p>
    <w:p w:rsidR="00C7085E" w:rsidRDefault="00C7085E" w:rsidP="00B71B1A">
      <w:pPr>
        <w:spacing w:before="120" w:after="240" w:line="276" w:lineRule="auto"/>
        <w:ind w:right="-285"/>
      </w:pPr>
      <w:r>
        <w:lastRenderedPageBreak/>
        <w:t>Para tuberías con protección exterior, el material de la cama de apoyo y la ejecución de ésta deberá ser tal que el recubrimiento protector no sufra daños.</w:t>
      </w:r>
    </w:p>
    <w:p w:rsidR="00C7085E" w:rsidRDefault="00C7085E" w:rsidP="00B71B1A">
      <w:pPr>
        <w:spacing w:before="120" w:after="240" w:line="276" w:lineRule="auto"/>
        <w:ind w:right="-285"/>
      </w:pPr>
      <w:r>
        <w:t>Las conducciones podrán reforzarse con recubrimiento de hormigón si tuvieran que soportar cargas superiores a las de diseño de la tubería, evitar erosiones y/o descalces, si hubiera que proteger la tubería de agresividades externas o añadir peso para evitar su flotabilidad bajo el nivel freático. Las características del hormigón y dimensiones de las secciones reforzadas deberán ser aprobadas por la Dirección de Obra.</w:t>
      </w:r>
    </w:p>
    <w:p w:rsidR="00C7085E" w:rsidRDefault="00C7085E" w:rsidP="00B71B1A">
      <w:pPr>
        <w:spacing w:before="120" w:after="240" w:line="276" w:lineRule="auto"/>
        <w:ind w:right="-285"/>
      </w:pPr>
      <w:r>
        <w:t>En general, no se colocarán más de cien metros (100 m) de tubería sin proceder al relleno parcial de la zanja.</w:t>
      </w:r>
    </w:p>
    <w:p w:rsidR="00C7085E" w:rsidRDefault="00C7085E" w:rsidP="00B71B1A">
      <w:pPr>
        <w:spacing w:before="120" w:after="240" w:line="276" w:lineRule="auto"/>
        <w:ind w:right="-285"/>
      </w:pPr>
      <w:r>
        <w:t>Se deberán tomar las medidas necesarias para evitar la posible flotación de la tubería.</w:t>
      </w:r>
    </w:p>
    <w:p w:rsidR="00C7085E" w:rsidRDefault="00C7085E" w:rsidP="00B71B1A">
      <w:pPr>
        <w:spacing w:before="120" w:after="240" w:line="276" w:lineRule="auto"/>
        <w:ind w:right="-285"/>
      </w:pPr>
      <w:r>
        <w:t>El Adjudicatario adoptará precauciones para evitar que las tierras puedan penetrar en la tubería por sus extremos libres, siendo responsable de la posterior limpieza de la conducción instalada. En el caso de que alguno de dichos extremos o ramales vaya a quedar durante algún tiempo expuesto, se dispondrá un cierre estanco al agua suficientemente asegurado para que no pueda ser retirado accidentalmente.</w:t>
      </w:r>
    </w:p>
    <w:p w:rsidR="00C7085E" w:rsidRDefault="00C7085E" w:rsidP="00B71B1A">
      <w:pPr>
        <w:spacing w:before="120" w:after="240" w:line="276" w:lineRule="auto"/>
        <w:ind w:right="-285"/>
      </w:pPr>
      <w:r>
        <w:t>Cada tubo deberá centrarse perfectamente con los adyacentes, en el caso de zanjas con pendientes superiores al diez por ciento (10%), la tubería se colocará en sentido ascendente. En el caso de que esto no sea posible, se tomarán las debidas precauciones para evitar el deslizamiento de los tubos.</w:t>
      </w:r>
    </w:p>
    <w:p w:rsidR="00C7085E" w:rsidRDefault="00C7085E" w:rsidP="00B71B1A">
      <w:pPr>
        <w:spacing w:before="120" w:after="240" w:line="276" w:lineRule="auto"/>
        <w:ind w:right="-285"/>
      </w:pPr>
      <w:r>
        <w:t>Las partes de la tubería correspondiente a las juntas se mantendrán limpias y protegidas.</w:t>
      </w:r>
    </w:p>
    <w:p w:rsidR="00C7085E" w:rsidRDefault="00C7085E" w:rsidP="00B71B1A">
      <w:pPr>
        <w:spacing w:before="120" w:after="240" w:line="276" w:lineRule="auto"/>
        <w:ind w:right="-285"/>
      </w:pPr>
      <w:r>
        <w:t>En las uniones de enchufe y extremo liso, el empuje para el enchufe coaxial de los diferentes tramos será controlado, pudiendo utilizarse gatos mecánicos o hidráulicos, palancas manuales y otros dispositivos, cuidando que durante la fase de empuje no se produzcan daños.</w:t>
      </w:r>
    </w:p>
    <w:p w:rsidR="00C7085E" w:rsidRDefault="00C7085E" w:rsidP="00B71B1A">
      <w:pPr>
        <w:spacing w:before="120" w:after="240" w:line="276" w:lineRule="auto"/>
        <w:ind w:right="-285"/>
      </w:pPr>
      <w:r>
        <w:t>En este tipo de unión deberá cuidarse especialmente que las superficies del tubo en contacto con el anillo elastomérico estén limpias y exentas de defectos superficiales, tales como coqueras o aristas que puedan afectar a la estanquidad o dañar al anillo.</w:t>
      </w:r>
    </w:p>
    <w:p w:rsidR="00C7085E" w:rsidRDefault="00C7085E" w:rsidP="00B71B1A">
      <w:pPr>
        <w:spacing w:before="120" w:after="240" w:line="276" w:lineRule="auto"/>
        <w:ind w:right="-285"/>
      </w:pPr>
      <w:r>
        <w:t>Durante el montaje de la unión se efectúa el encaje correcto del anillo, comprobándose que los paramentos verticales del enchufe y del extremo liso están separados lo suficiente, para poder absorber los movimientos de la unión.</w:t>
      </w:r>
    </w:p>
    <w:p w:rsidR="00C7085E" w:rsidRDefault="00C7085E" w:rsidP="00B71B1A">
      <w:pPr>
        <w:spacing w:before="120" w:after="240" w:line="276" w:lineRule="auto"/>
        <w:ind w:right="-285"/>
      </w:pPr>
      <w:r>
        <w:t>En las conducciones de fundición dúctil, de hormigón, de acero y de gres, la zona baja de la zanja se rellenará con material seleccionado, con un tamaño máximo de tres centímetros (3 cm), colocado en capas de pequeño espesor hasta alcanzar un grado de compactación igual o superior al noventa y cinco (95%) del Próctor modificado. Se rellenará con este tipo de material treinta centímetros (30 cm) por encima de la generatriz superior del tubo.</w:t>
      </w:r>
    </w:p>
    <w:p w:rsidR="00C7085E" w:rsidRDefault="00C7085E" w:rsidP="00B71B1A">
      <w:pPr>
        <w:spacing w:before="120" w:after="240" w:line="276" w:lineRule="auto"/>
        <w:ind w:right="-285"/>
      </w:pPr>
      <w:r>
        <w:t xml:space="preserve">En el caso de tubos de material plástico (PVC-O, PRFV, PE, PVC-U y PP estructurados), la zona baja de la zanja de excavación se rellenará con gravilla de canto rodado de tamaño </w:t>
      </w:r>
      <w:r>
        <w:lastRenderedPageBreak/>
        <w:t>máximo 25 mm hasta quince centímetros (15 cm) por encima de la clave de la tubería. Se prestará especial atención a la colocación en obra sobre los tubos de PRFV; el manual AWWA M45 recomienda un tamaño máximo de partícula de 25, 32 ó 38 mm en función de que su DN sea menor o igual a 900, esté comprendido entre 900 y 1.200 o sea superior a este valor respectivamente.</w:t>
      </w:r>
    </w:p>
    <w:p w:rsidR="00C7085E" w:rsidRDefault="00C7085E" w:rsidP="00B71B1A">
      <w:pPr>
        <w:spacing w:before="120" w:after="240" w:line="276" w:lineRule="auto"/>
        <w:ind w:right="-285"/>
      </w:pPr>
      <w:r>
        <w:t>En la zona alta se empleará relleno adecuado con un tamaño máximo recomendado de quince centímetros (15 cm), que se colocará en tongadas horizontales hasta alcanzar un grado de compactación no menor del cien por cien (100%) del Próctor modificado.</w:t>
      </w:r>
    </w:p>
    <w:p w:rsidR="00C7085E" w:rsidRDefault="00C7085E" w:rsidP="00B71B1A">
      <w:pPr>
        <w:spacing w:before="120" w:after="240" w:line="276" w:lineRule="auto"/>
        <w:ind w:right="-285"/>
      </w:pPr>
      <w:r>
        <w:t>El material de relleno, tanto para la zona alta como para la baja, podrá ser procedente de la excavación de la zanja a menos que sea inadecuado.</w:t>
      </w:r>
    </w:p>
    <w:p w:rsidR="00C7085E" w:rsidRDefault="00C7085E" w:rsidP="00B71B1A">
      <w:pPr>
        <w:widowControl/>
        <w:numPr>
          <w:ilvl w:val="0"/>
          <w:numId w:val="8"/>
        </w:numPr>
        <w:spacing w:before="120" w:after="240" w:line="276" w:lineRule="auto"/>
        <w:ind w:left="714" w:right="-285" w:hanging="357"/>
      </w:pPr>
      <w:r>
        <w:t>Instalación de tuberías aéreas</w:t>
      </w:r>
    </w:p>
    <w:p w:rsidR="00C7085E" w:rsidRDefault="00C7085E" w:rsidP="00B71B1A">
      <w:pPr>
        <w:spacing w:before="120" w:after="240" w:line="276" w:lineRule="auto"/>
        <w:ind w:right="-285"/>
      </w:pPr>
      <w:r>
        <w:t>En la instalación de tuberías aéreas, los tubos se colocarán sobre apoyos aislados, que podrán ser de hormigón o metálicos y en número tal que se asegure un funcionamiento sin vibraciones. Los apoyos de hormigón se dispondrán con una cuna de asiento de la tubería, la cual abarca al tubo en un arco de entre ciento veinte y ciento ochenta grados (120º y 180º). Cuando se empleen zunchos metálicos, estos serán pletinas de cincuenta milímetros (50 mm), las cuales estarán protegidas contra la erosión y no deberán provocar, en ningún caso, el aplastamiento local del tubo.</w:t>
      </w:r>
    </w:p>
    <w:p w:rsidR="00C7085E" w:rsidRDefault="00C7085E" w:rsidP="00B71B1A">
      <w:pPr>
        <w:spacing w:before="120" w:after="240" w:line="276" w:lineRule="auto"/>
        <w:ind w:right="-285"/>
      </w:pPr>
      <w:r>
        <w:t>En el caso de tubos de materiales plásticos el apoyo deber realizarse mediante pinzas o abrazaderas de material plástico o metálico, las cuales no deben comprimir al tubo.</w:t>
      </w:r>
    </w:p>
    <w:p w:rsidR="00C7085E" w:rsidRDefault="00C7085E" w:rsidP="00B71B1A">
      <w:pPr>
        <w:spacing w:before="120" w:after="240" w:line="276" w:lineRule="auto"/>
        <w:ind w:right="-285"/>
      </w:pPr>
      <w:r>
        <w:t>La flecha máxima admisible en el centro de vanos entre apoyos será de 1/1000 de la longitud entre soportes, medida con la tubería en funcionamiento.</w:t>
      </w:r>
    </w:p>
    <w:p w:rsidR="00C7085E" w:rsidRDefault="00C7085E" w:rsidP="00B71B1A">
      <w:pPr>
        <w:spacing w:before="120" w:after="240" w:line="276" w:lineRule="auto"/>
        <w:ind w:right="-285"/>
      </w:pPr>
      <w:r>
        <w:t>No se colocarán en ningún caso, tuberías al nivel del suelo ni a menos de uno con noventa metros (1,90 m) del piso en los lugares de paso, salvo en galerías donde, debidamente señalizadas se admitirá el cruce de tuberías cuya generatriz inferior distará del suelo una distancia mínima de uno con setenta metros (1,70 m).</w:t>
      </w:r>
    </w:p>
    <w:p w:rsidR="00C7085E" w:rsidRDefault="00C7085E" w:rsidP="00B71B1A">
      <w:pPr>
        <w:spacing w:before="120" w:after="240" w:line="276" w:lineRule="auto"/>
        <w:ind w:right="-285"/>
      </w:pPr>
      <w:r>
        <w:t>Las uniones de los tubos y de las piezas especiales quedarán al descubierto para permitir el montaje y desmontaje de las mismas.</w:t>
      </w:r>
    </w:p>
    <w:p w:rsidR="00C7085E" w:rsidRDefault="00C7085E" w:rsidP="00B71B1A">
      <w:pPr>
        <w:spacing w:before="120" w:after="240" w:line="276" w:lineRule="auto"/>
        <w:ind w:right="-285"/>
      </w:pPr>
      <w:r>
        <w:t>Se preverán dispositivos para compensar las dilataciones debidas a las variaciones de temperatura, circunstancia de especial importancia en las tuberías de acero y polietileno.</w:t>
      </w:r>
    </w:p>
    <w:p w:rsidR="00C7085E" w:rsidRDefault="00C7085E" w:rsidP="00B71B1A">
      <w:pPr>
        <w:spacing w:before="120" w:after="240" w:line="276" w:lineRule="auto"/>
        <w:ind w:right="-285"/>
        <w:rPr>
          <w:i/>
        </w:rPr>
      </w:pPr>
      <w:r>
        <w:t>No se emplearán tubos de PE en instalaciones aéreas y si excepcionalmente, la Dirección de Obra autoriza su uso, las distancias máximas entre apoyos serán las contempladas en la norma UNE 53394 IN: “</w:t>
      </w:r>
      <w:r>
        <w:rPr>
          <w:i/>
        </w:rPr>
        <w:t>Plásticos. Código de instalación y manejo de tubos de polietileno (PE) para conducción de agua a presión. Técnicas recomendadas”.</w:t>
      </w:r>
    </w:p>
    <w:p w:rsidR="00C7085E" w:rsidRDefault="00C7085E" w:rsidP="00B71B1A">
      <w:pPr>
        <w:spacing w:before="120" w:after="240" w:line="276" w:lineRule="auto"/>
        <w:ind w:right="-285"/>
      </w:pPr>
      <w:r>
        <w:t>Los tubos de PVC-O se protegerán especialmente contra la acción de los rayos solares, no debiendo alcanzar la superficie exterior del tubo los cuarenta y cinco grados centígrados (45º C).</w:t>
      </w:r>
    </w:p>
    <w:p w:rsidR="00C7085E" w:rsidRDefault="00C7085E" w:rsidP="00B71B1A">
      <w:pPr>
        <w:widowControl/>
        <w:numPr>
          <w:ilvl w:val="0"/>
          <w:numId w:val="8"/>
        </w:numPr>
        <w:spacing w:before="120" w:after="240" w:line="276" w:lineRule="auto"/>
        <w:ind w:left="714" w:right="-285" w:hanging="357"/>
      </w:pPr>
      <w:r>
        <w:lastRenderedPageBreak/>
        <w:t>Control de calidad. Aspectos generales</w:t>
      </w:r>
    </w:p>
    <w:p w:rsidR="00C7085E" w:rsidRDefault="00C7085E" w:rsidP="00B71B1A">
      <w:pPr>
        <w:spacing w:before="120" w:after="240" w:line="276" w:lineRule="auto"/>
        <w:ind w:right="-285"/>
      </w:pPr>
      <w:r>
        <w:t>El fabricante deberá asegurar la calidad de sus productos durante la fabricación mediante un sistema de control de las materias primas y del proceso de fabricación, que garantice el cumplimiento de las prescripciones técnicas de la norma base utilizada para la producción de los componentes de las redes.</w:t>
      </w:r>
    </w:p>
    <w:p w:rsidR="00C7085E" w:rsidRDefault="00C7085E" w:rsidP="00B71B1A">
      <w:pPr>
        <w:spacing w:before="120" w:after="240" w:line="276" w:lineRule="auto"/>
        <w:ind w:right="-285"/>
      </w:pPr>
      <w:r>
        <w:t>El Adjudicatario deberá facilitar la documentación necesaria para conocer las características técnicas, materias primas, proceso de fabricación, control de calidad durante el mismo, certificaciones de producto y recomendaciones de instalación y manipulación de los mismos.</w:t>
      </w:r>
    </w:p>
    <w:p w:rsidR="00C7085E" w:rsidRDefault="00C7085E" w:rsidP="00B71B1A">
      <w:pPr>
        <w:spacing w:before="120" w:after="240" w:line="276" w:lineRule="auto"/>
        <w:ind w:right="-285"/>
      </w:pPr>
      <w:r>
        <w:t>Todos los componentes, con independencia del tipo de material, deberán ser sometidos a una inspección visual al finalizar el proceso de fabricación, de forma que se verifique la uniformidad en el color y el aspecto de los mismos, de forma que tanto la superficie exterior como la interior estén libres de irregularidades que puedan afectar negativamente a la hora de cumplir los requisitos previstos.</w:t>
      </w:r>
    </w:p>
    <w:p w:rsidR="00C7085E" w:rsidRDefault="00C7085E" w:rsidP="00B71B1A">
      <w:pPr>
        <w:spacing w:before="120" w:after="240" w:line="276" w:lineRule="auto"/>
        <w:ind w:right="-285"/>
      </w:pPr>
      <w:r>
        <w:t>Cuando alguna directiva o reglamento de la Unión Europea obligue a que determinados componentes a instalar en las redes vayan identificados con el distintivo “CE”, se atenderá a lo dispuesto en ella.</w:t>
      </w:r>
    </w:p>
    <w:p w:rsidR="00C7085E" w:rsidRDefault="00C7085E" w:rsidP="00B71B1A">
      <w:pPr>
        <w:spacing w:before="120" w:after="240" w:line="276" w:lineRule="auto"/>
        <w:ind w:right="-285"/>
      </w:pPr>
      <w:r>
        <w:t xml:space="preserve">A la llegada a obra se observará el cargamento con detenimiento, apreciando si los tubos han sufrido algún deterioro. Serán objeto de revisión visual los siguientes aspectos: </w:t>
      </w:r>
    </w:p>
    <w:p w:rsidR="00C7085E" w:rsidRDefault="00C7085E" w:rsidP="00B71B1A">
      <w:pPr>
        <w:widowControl/>
        <w:numPr>
          <w:ilvl w:val="0"/>
          <w:numId w:val="12"/>
        </w:numPr>
        <w:suppressAutoHyphens/>
        <w:spacing w:before="120" w:after="240" w:line="276" w:lineRule="auto"/>
        <w:ind w:right="-285"/>
        <w:rPr>
          <w:szCs w:val="22"/>
        </w:rPr>
      </w:pPr>
      <w:r>
        <w:rPr>
          <w:szCs w:val="22"/>
        </w:rPr>
        <w:t>Deterioros, desgastes o pérdidas del revestimiento exterior o interior de los tubos, en los tipos de tuberías que los llevan.</w:t>
      </w:r>
    </w:p>
    <w:p w:rsidR="00C7085E" w:rsidRDefault="00C7085E" w:rsidP="00B71B1A">
      <w:pPr>
        <w:widowControl/>
        <w:numPr>
          <w:ilvl w:val="0"/>
          <w:numId w:val="12"/>
        </w:numPr>
        <w:suppressAutoHyphens/>
        <w:spacing w:before="120" w:after="240" w:line="276" w:lineRule="auto"/>
        <w:ind w:right="-285"/>
        <w:rPr>
          <w:szCs w:val="22"/>
        </w:rPr>
      </w:pPr>
      <w:r>
        <w:rPr>
          <w:szCs w:val="22"/>
        </w:rPr>
        <w:t xml:space="preserve">Golpes, abolladuras o señales superficiales en cualquier parte de la superficie del tubo. </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 xml:space="preserve">Alteraciones de cualquier tipo producidas en los extremos de los tubos. </w:t>
      </w:r>
    </w:p>
    <w:p w:rsidR="00C7085E" w:rsidRDefault="00C7085E" w:rsidP="00B71B1A">
      <w:pPr>
        <w:spacing w:before="120" w:after="240" w:line="276" w:lineRule="auto"/>
        <w:ind w:right="-285"/>
      </w:pPr>
      <w:r>
        <w:t xml:space="preserve">Cualquier anomalía que pudiera detectarse será responsabilidad del Adjudicatario, quedando obligado a la ejecución, si ello fuera posible, de todas las labores necesarias para la reparación de los desperfectos ocasionados en el tubo hasta cumplir todas las especificaciones incluidas en el presente Pliego. </w:t>
      </w:r>
    </w:p>
    <w:p w:rsidR="00C7085E" w:rsidRDefault="00C7085E" w:rsidP="00B71B1A">
      <w:pPr>
        <w:spacing w:before="120" w:after="240" w:line="276" w:lineRule="auto"/>
        <w:ind w:right="-285"/>
      </w:pPr>
      <w:r>
        <w:t xml:space="preserve">Todos los tubos reparados en obra por este concepto serán sometidos a las correspondientes verificaciones por la Dirección de Obra o tercero que ésta designe, antes de su aceptación final. </w:t>
      </w:r>
    </w:p>
    <w:p w:rsidR="00C7085E" w:rsidRDefault="00C7085E" w:rsidP="00B71B1A">
      <w:pPr>
        <w:spacing w:before="120" w:after="240" w:line="276" w:lineRule="auto"/>
        <w:ind w:right="-285"/>
      </w:pPr>
      <w:r>
        <w:t>En caso de que los tubos dañados o reparados por el Adjudicatario ofrezcan alguna duda sobre su utilización en la obra, éstos serán definitivamente rechazados, pudiendo la propiedad reclamar la indemnización por daños y perjuicios que a tal efecto se establezca en el Contrato entre las partes.</w:t>
      </w:r>
    </w:p>
    <w:p w:rsidR="00C7085E" w:rsidRDefault="00C7085E" w:rsidP="00B71B1A">
      <w:pPr>
        <w:spacing w:before="120" w:after="240" w:line="276" w:lineRule="auto"/>
        <w:ind w:right="-285"/>
      </w:pPr>
      <w:r>
        <w:t xml:space="preserve">Adicionalmente, la Dirección de Obra podrá proceder a la toma de muestras de tubos, accesorios y piezas especiales y a la ejecución de los ensayos previstos en la norma de </w:t>
      </w:r>
      <w:r>
        <w:lastRenderedPageBreak/>
        <w:t>referencia de producto conforme a lo que se determine en el Anejo de Control de Calidad.</w:t>
      </w:r>
    </w:p>
    <w:p w:rsidR="00C7085E" w:rsidRDefault="00C7085E" w:rsidP="00B71B1A">
      <w:pPr>
        <w:spacing w:before="120" w:after="240" w:line="276" w:lineRule="auto"/>
        <w:ind w:right="-285"/>
      </w:pPr>
      <w:r>
        <w:t>Durante la ejecución de las obras, se realizarán ensayos mediante la utilización de líquidos penetrantes en todas las soldaduras realizadas en obra en los tubos de acero y en los de hormigón armado o pretensado con camisa de chapa, de acuerdo a lo especificado en la norma UNE-EN ISO 3452-1: “</w:t>
      </w:r>
      <w:r>
        <w:rPr>
          <w:i/>
        </w:rPr>
        <w:t>Ensayos no destructivos. Ensayo por líquidos penetrantes. Parte 1:</w:t>
      </w:r>
      <w:r>
        <w:t xml:space="preserve"> </w:t>
      </w:r>
      <w:r>
        <w:rPr>
          <w:i/>
        </w:rPr>
        <w:t>Principios generale</w:t>
      </w:r>
      <w:r>
        <w:t>s”, no debiendo detectarse ningún poro durante el ensayo.</w:t>
      </w:r>
    </w:p>
    <w:p w:rsidR="00C7085E" w:rsidRDefault="00C7085E" w:rsidP="00B71B1A">
      <w:pPr>
        <w:spacing w:before="120" w:after="240" w:line="276" w:lineRule="auto"/>
        <w:ind w:right="-285"/>
        <w:rPr>
          <w:i/>
        </w:rPr>
      </w:pPr>
      <w:r>
        <w:t>Además, se deberá, sobre el diez por ciento (10%) de las mismas, realizar ensayos por otros procedimientos, tales como radiografías o partículas magnéticas, de forma, que si los fallos detectados exceden porcentajes de más del cinco por ciento (5%), este control radiográfico podría extenderse al cincuenta por ciento (50%) de las soldaduras. Los ensayos por radiografías se ajustarán a las especificaciones establecidas en la norma UNE-EN ISO 10675-1: “</w:t>
      </w:r>
      <w:r>
        <w:rPr>
          <w:i/>
        </w:rPr>
        <w:t>Ensayo no destructivo de uniones soldadas. Niveles de aceptación para los ensayos radiográficos. Parte 1: Acero, níquel, titanio y sus aleaciones. (ISO 10675-1:2008).”</w:t>
      </w:r>
    </w:p>
    <w:p w:rsidR="00C7085E" w:rsidRDefault="00C7085E" w:rsidP="00B71B1A">
      <w:pPr>
        <w:spacing w:before="120" w:after="240" w:line="276" w:lineRule="auto"/>
        <w:ind w:right="-285"/>
      </w:pPr>
      <w:r>
        <w:t>En estos tubos se establecerán además, como mínimo, los siguientes puntos de control:</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Homologación de procedimiento de soldadura.</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Homologación de soldadores.</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Preparación de bordes para soldaduras a tope, si fueran necesarias, éstas deben realizarse en taller.</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Separación mínima/máxima entre chapas solapadas para soldar (boquillas entre tubos).</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Electrodos a utilizar y tipo.</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Otros tipos de soldadura en otros materiales.</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Alineación y nivelación de tuberías.</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Control de calidad soldaduras.</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Inspección visual.</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Control de calidad de la protección de las tuberías.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szCs w:val="20"/>
        </w:rPr>
      </w:pPr>
      <w:bookmarkStart w:id="165" w:name="_Toc414021792"/>
      <w:bookmarkStart w:id="166" w:name="_Toc448741414"/>
      <w:r>
        <w:t>Tubería de hormigón armado</w:t>
      </w:r>
      <w:bookmarkEnd w:id="165"/>
      <w:bookmarkEnd w:id="166"/>
    </w:p>
    <w:p w:rsidR="00C7085E" w:rsidRDefault="00C7085E" w:rsidP="00B71B1A">
      <w:pPr>
        <w:spacing w:before="120" w:after="240" w:line="276" w:lineRule="auto"/>
        <w:ind w:right="-285"/>
        <w:rPr>
          <w:rFonts w:cs="Arial"/>
          <w:b/>
          <w:bCs/>
          <w:color w:val="000000"/>
          <w:sz w:val="17"/>
          <w:szCs w:val="17"/>
        </w:rPr>
      </w:pPr>
      <w:r>
        <w:rPr>
          <w:rFonts w:cs="Arial"/>
        </w:rPr>
        <w:t xml:space="preserve">Las tuberías de hormigón armado de sección circular sólo podrán emplearse en redes de saneamiento, debiendo cumplir con lo especificado para las mismas en las normas UNE-EN 1916: </w:t>
      </w:r>
      <w:r>
        <w:rPr>
          <w:rFonts w:cs="Arial"/>
          <w:i/>
        </w:rPr>
        <w:t xml:space="preserve">“Tubos y piezas complementarias de hormigón en masa, hormigón armado y </w:t>
      </w:r>
      <w:r>
        <w:rPr>
          <w:rFonts w:cs="Arial"/>
          <w:i/>
          <w:szCs w:val="22"/>
        </w:rPr>
        <w:t xml:space="preserve">hormigón con fibra de acero.” </w:t>
      </w:r>
      <w:r>
        <w:rPr>
          <w:rFonts w:cs="Arial"/>
          <w:szCs w:val="22"/>
        </w:rPr>
        <w:t>y UNE 127916:</w:t>
      </w:r>
      <w:r>
        <w:rPr>
          <w:rFonts w:cs="Arial"/>
          <w:i/>
          <w:szCs w:val="22"/>
        </w:rPr>
        <w:t xml:space="preserve"> “</w:t>
      </w:r>
      <w:r>
        <w:rPr>
          <w:rFonts w:cs="Arial"/>
          <w:bCs/>
          <w:i/>
          <w:color w:val="000000"/>
          <w:szCs w:val="22"/>
        </w:rPr>
        <w:t>Tubos y piezas complementarias de hormigón en masa, de hormigón armado y hormigón con fibra de acero. Complemento nacional a la UNE-EN 1916.”</w:t>
      </w:r>
    </w:p>
    <w:p w:rsidR="00C7085E" w:rsidRDefault="00C7085E" w:rsidP="00B71B1A">
      <w:pPr>
        <w:spacing w:before="120" w:after="240" w:line="276" w:lineRule="auto"/>
        <w:ind w:right="-285"/>
        <w:rPr>
          <w:szCs w:val="22"/>
        </w:rPr>
      </w:pPr>
      <w:r>
        <w:lastRenderedPageBreak/>
        <w:t>Las tuberías de hormigón podrán usarse en conducciones de diámetros igual o superior a 300 mm, hasta los 3.000 mm.</w:t>
      </w:r>
      <w:r>
        <w:rPr>
          <w:szCs w:val="22"/>
        </w:rPr>
        <w:t xml:space="preserve"> La serie de diámetros a utilizar será:</w:t>
      </w:r>
    </w:p>
    <w:p w:rsidR="00C7085E" w:rsidRDefault="00C7085E" w:rsidP="00B71B1A">
      <w:pPr>
        <w:spacing w:before="120" w:after="240" w:line="276" w:lineRule="auto"/>
        <w:ind w:right="-285"/>
        <w:jc w:val="center"/>
      </w:pPr>
      <w:r>
        <w:t>300, 400, 500, 600, 800, 1.000, 1.200, 1.500, 1.800, 2.000, 2.500 y 3.000</w:t>
      </w:r>
    </w:p>
    <w:p w:rsidR="00C7085E" w:rsidRDefault="00C7085E" w:rsidP="00B71B1A">
      <w:pPr>
        <w:spacing w:before="120" w:after="240" w:line="276" w:lineRule="auto"/>
        <w:ind w:right="-285"/>
        <w:rPr>
          <w:rFonts w:cs="Arial"/>
        </w:rPr>
      </w:pPr>
      <w:r>
        <w:rPr>
          <w:rFonts w:cs="Arial"/>
        </w:rPr>
        <w:t>Los tubos de hormigón armado de sección circular se clasificarán por su diámetro nominal (DN), refiriéndose éste al diámetro interior del tubo (ID), y por su clase de resistencia.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cs="Arial Negrita"/>
        </w:rPr>
      </w:pPr>
      <w:r>
        <w:t>Materiales</w:t>
      </w:r>
    </w:p>
    <w:p w:rsidR="00C7085E" w:rsidRDefault="00C7085E" w:rsidP="00B71B1A">
      <w:pPr>
        <w:spacing w:before="120" w:after="240" w:line="276" w:lineRule="auto"/>
        <w:ind w:right="-285"/>
      </w:pPr>
      <w:r>
        <w:t>Los materiales a emplear en la fabricación de los tubos de hormigón (cemento, agua, áridos, aditivos, adiciones y acero para armaduras) deberán cumplir con las especificaciones que figuran en la Instrucción de Hormigón Estructural (EHE). En particular, el hormigón y acero utilizado para las armaduras cumplirán con lo especificado en la misma para la clase general de exposición IIa y clase específica de exposición Qb. Cuando los cementos vayan a utilizarse en presencia de sulfatos, deberán poseer la característica adicional de resistencia a los sulfatos (SR), siempre que el contenido en sulfatos, expresado como SO</w:t>
      </w:r>
      <w:r>
        <w:rPr>
          <w:vertAlign w:val="subscript"/>
        </w:rPr>
        <w:t>4</w:t>
      </w:r>
      <w:r>
        <w:t>, sea igual o mayor que 600 mg/l en el caso de aguas ó 3.000 mg/l en el caso de suelos, tal y como se indica en la Instrucción para la Recepción de Cementos (RC-08).</w:t>
      </w:r>
    </w:p>
    <w:p w:rsidR="00C7085E" w:rsidRDefault="00C7085E" w:rsidP="00B71B1A">
      <w:pPr>
        <w:spacing w:before="120" w:after="240" w:line="276" w:lineRule="auto"/>
        <w:ind w:right="-285"/>
      </w:pPr>
      <w:r>
        <w:t>Los tubos, una vez fabricados, deberán resistir las cargas de fisuración y de rotura, según DN y clases, especificadas en la norma UNE 127916.</w:t>
      </w:r>
    </w:p>
    <w:p w:rsidR="00C7085E" w:rsidRDefault="00C7085E" w:rsidP="00B71B1A">
      <w:pPr>
        <w:spacing w:before="120" w:after="240" w:line="276" w:lineRule="auto"/>
        <w:ind w:right="-285"/>
      </w:pPr>
      <w:r>
        <w:t>La resistencia mínima a la rotura de los tubos a emplear será igual a ciento treinta y cinco kilo newton por metro cuadrado (135 kN/m</w:t>
      </w:r>
      <w:r>
        <w:rPr>
          <w:vertAlign w:val="superscript"/>
        </w:rPr>
        <w:t>2</w:t>
      </w:r>
      <w:r>
        <w:t>)</w:t>
      </w:r>
    </w:p>
    <w:p w:rsidR="00C7085E" w:rsidRDefault="00C7085E" w:rsidP="00B71B1A">
      <w:pPr>
        <w:spacing w:before="120" w:after="240" w:line="276" w:lineRule="auto"/>
        <w:ind w:right="-285"/>
      </w:pPr>
      <w:r>
        <w:t>Las características finales del hormigón obtenido deberán ser las que se indican a continuación (UNE-EN 1916 y UNE 127916):</w:t>
      </w:r>
    </w:p>
    <w:p w:rsidR="00C7085E" w:rsidRDefault="00C7085E" w:rsidP="00B71B1A">
      <w:pPr>
        <w:widowControl/>
        <w:numPr>
          <w:ilvl w:val="0"/>
          <w:numId w:val="12"/>
        </w:numPr>
        <w:spacing w:before="120" w:after="240" w:line="276" w:lineRule="auto"/>
        <w:ind w:left="714" w:right="-285" w:hanging="357"/>
      </w:pPr>
      <w:r>
        <w:t>Relación máxima agua cemento: 0,45</w:t>
      </w:r>
    </w:p>
    <w:p w:rsidR="00C7085E" w:rsidRDefault="00C7085E" w:rsidP="00B71B1A">
      <w:pPr>
        <w:widowControl/>
        <w:numPr>
          <w:ilvl w:val="0"/>
          <w:numId w:val="12"/>
        </w:numPr>
        <w:spacing w:before="120" w:after="240" w:line="276" w:lineRule="auto"/>
        <w:ind w:left="714" w:right="-285" w:hanging="357"/>
      </w:pPr>
      <w:r>
        <w:t>Absorción máxima de agua (% de la masa): 6</w:t>
      </w:r>
    </w:p>
    <w:p w:rsidR="00C7085E" w:rsidRDefault="00C7085E" w:rsidP="00B71B1A">
      <w:pPr>
        <w:widowControl/>
        <w:numPr>
          <w:ilvl w:val="0"/>
          <w:numId w:val="12"/>
        </w:numPr>
        <w:spacing w:before="120" w:after="240" w:line="276" w:lineRule="auto"/>
        <w:ind w:left="714" w:right="-285" w:hanging="357"/>
      </w:pPr>
      <w:r>
        <w:t>Contenido máximo de ion cloro (% de la masa de cemento): 0,4</w:t>
      </w:r>
    </w:p>
    <w:p w:rsidR="00C7085E" w:rsidRDefault="00C7085E" w:rsidP="00B71B1A">
      <w:pPr>
        <w:widowControl/>
        <w:numPr>
          <w:ilvl w:val="0"/>
          <w:numId w:val="12"/>
        </w:numPr>
        <w:spacing w:before="120" w:after="240" w:line="276" w:lineRule="auto"/>
        <w:ind w:left="714" w:right="-285" w:hanging="357"/>
      </w:pPr>
      <w:r>
        <w:t>Resistencia a compresión mínima (N/mm</w:t>
      </w:r>
      <w:r>
        <w:rPr>
          <w:vertAlign w:val="superscript"/>
        </w:rPr>
        <w:t>2</w:t>
      </w:r>
      <w:r>
        <w:t>): 30</w:t>
      </w:r>
    </w:p>
    <w:p w:rsidR="00C7085E" w:rsidRDefault="00C7085E" w:rsidP="00B71B1A">
      <w:pPr>
        <w:keepNext/>
        <w:keepLines/>
        <w:widowControl/>
        <w:numPr>
          <w:ilvl w:val="0"/>
          <w:numId w:val="12"/>
        </w:numPr>
        <w:spacing w:before="120" w:after="240" w:line="276" w:lineRule="auto"/>
        <w:ind w:left="714" w:right="-285" w:hanging="357"/>
      </w:pPr>
      <w:r>
        <w:t>Alcalinidad:</w:t>
      </w:r>
      <w:r>
        <w:tab/>
        <w:t xml:space="preserve">Con ataque químico medio, ≥ 0,85; </w:t>
      </w:r>
    </w:p>
    <w:p w:rsidR="00C7085E" w:rsidRDefault="00C7085E" w:rsidP="00B71B1A">
      <w:pPr>
        <w:keepNext/>
        <w:keepLines/>
        <w:spacing w:before="120" w:after="240" w:line="276" w:lineRule="auto"/>
        <w:ind w:left="1418" w:right="-285" w:firstLine="709"/>
      </w:pPr>
      <w:r>
        <w:t>Con ataque químico débil, a criterio del proyectista.</w:t>
      </w:r>
    </w:p>
    <w:p w:rsidR="00C7085E" w:rsidRDefault="00C7085E" w:rsidP="00B71B1A">
      <w:pPr>
        <w:spacing w:before="120" w:after="240" w:line="276" w:lineRule="auto"/>
        <w:ind w:right="-285"/>
      </w:pPr>
      <w:r>
        <w:t>En el caso de zonas de alta montaña con utilización de sal por nevadas, o con posibilidad de erosión, se tendrá que recurrir a las prescripciones, en relación a la durabilidad, establecidas en la vigente EHE.</w:t>
      </w:r>
    </w:p>
    <w:p w:rsidR="00C7085E" w:rsidRDefault="00C7085E" w:rsidP="00B71B1A">
      <w:pPr>
        <w:spacing w:before="120" w:after="240" w:line="276" w:lineRule="auto"/>
        <w:ind w:right="-285"/>
      </w:pPr>
      <w:r>
        <w:t>Las dimensiones normalizadas de los tubos de hormigón de sección circular serán las indicadas, según sea su tipología, en la norma UNE 127916.</w:t>
      </w:r>
    </w:p>
    <w:p w:rsidR="00C7085E" w:rsidRDefault="00C7085E" w:rsidP="00B71B1A">
      <w:pPr>
        <w:tabs>
          <w:tab w:val="left" w:pos="2428"/>
        </w:tabs>
        <w:spacing w:before="120" w:after="240" w:line="276" w:lineRule="auto"/>
        <w:ind w:right="-285"/>
      </w:pPr>
      <w:r>
        <w:t xml:space="preserve">Todos los tubos deberán ir marcados, de forma fácilmente legible y durable, con las </w:t>
      </w:r>
      <w:r>
        <w:lastRenderedPageBreak/>
        <w:t>siguientes identificaciones como mínimo:</w:t>
      </w:r>
    </w:p>
    <w:p w:rsidR="00C7085E" w:rsidRDefault="00C7085E" w:rsidP="00B71B1A">
      <w:pPr>
        <w:widowControl/>
        <w:numPr>
          <w:ilvl w:val="0"/>
          <w:numId w:val="12"/>
        </w:numPr>
        <w:spacing w:before="120" w:after="240" w:line="276" w:lineRule="auto"/>
        <w:ind w:left="714" w:right="-285" w:hanging="357"/>
      </w:pPr>
      <w:r>
        <w:t>Nombre o marca del fabricante</w:t>
      </w:r>
    </w:p>
    <w:p w:rsidR="00C7085E" w:rsidRDefault="00C7085E" w:rsidP="00B71B1A">
      <w:pPr>
        <w:widowControl/>
        <w:numPr>
          <w:ilvl w:val="0"/>
          <w:numId w:val="12"/>
        </w:numPr>
        <w:spacing w:before="120" w:after="240" w:line="276" w:lineRule="auto"/>
        <w:ind w:left="714" w:right="-285" w:hanging="357"/>
      </w:pPr>
      <w:r>
        <w:t>Marcado THA, indicativo de que se trata de un tubo de hormigón armado</w:t>
      </w:r>
    </w:p>
    <w:p w:rsidR="00C7085E" w:rsidRDefault="00C7085E" w:rsidP="00B71B1A">
      <w:pPr>
        <w:widowControl/>
        <w:numPr>
          <w:ilvl w:val="0"/>
          <w:numId w:val="12"/>
        </w:numPr>
        <w:spacing w:before="120" w:after="240" w:line="276" w:lineRule="auto"/>
        <w:ind w:left="714" w:right="-285" w:hanging="357"/>
      </w:pPr>
      <w:r>
        <w:t>Fecha de fabricación</w:t>
      </w:r>
    </w:p>
    <w:p w:rsidR="00C7085E" w:rsidRDefault="00C7085E" w:rsidP="00B71B1A">
      <w:pPr>
        <w:widowControl/>
        <w:numPr>
          <w:ilvl w:val="0"/>
          <w:numId w:val="12"/>
        </w:numPr>
        <w:spacing w:before="120" w:after="240" w:line="276" w:lineRule="auto"/>
        <w:ind w:left="714" w:right="-285" w:hanging="357"/>
      </w:pPr>
      <w:r>
        <w:t>Diámetro nominal DN</w:t>
      </w:r>
    </w:p>
    <w:p w:rsidR="00C7085E" w:rsidRDefault="00C7085E" w:rsidP="00B71B1A">
      <w:pPr>
        <w:widowControl/>
        <w:numPr>
          <w:ilvl w:val="0"/>
          <w:numId w:val="12"/>
        </w:numPr>
        <w:spacing w:before="120" w:after="240" w:line="276" w:lineRule="auto"/>
        <w:ind w:left="714" w:right="-285" w:hanging="357"/>
      </w:pPr>
      <w:r>
        <w:t>Clase resistente de la conducción</w:t>
      </w:r>
    </w:p>
    <w:p w:rsidR="00C7085E" w:rsidRDefault="00C7085E" w:rsidP="00B71B1A">
      <w:pPr>
        <w:widowControl/>
        <w:numPr>
          <w:ilvl w:val="0"/>
          <w:numId w:val="12"/>
        </w:numPr>
        <w:spacing w:before="120" w:after="240" w:line="276" w:lineRule="auto"/>
        <w:ind w:left="714" w:right="-285" w:hanging="357"/>
      </w:pPr>
      <w:r>
        <w:t>Referencia a la norma EN 1916</w:t>
      </w:r>
    </w:p>
    <w:p w:rsidR="00C7085E" w:rsidRDefault="00C7085E" w:rsidP="00B71B1A">
      <w:pPr>
        <w:widowControl/>
        <w:numPr>
          <w:ilvl w:val="0"/>
          <w:numId w:val="12"/>
        </w:numPr>
        <w:spacing w:before="120" w:after="240" w:line="276" w:lineRule="auto"/>
        <w:ind w:left="714" w:right="-285" w:hanging="357"/>
      </w:pPr>
      <w:r>
        <w:t>Marca de Calidad, en su caso</w:t>
      </w:r>
    </w:p>
    <w:p w:rsidR="00C7085E" w:rsidRDefault="00C7085E" w:rsidP="00B71B1A">
      <w:pPr>
        <w:widowControl/>
        <w:numPr>
          <w:ilvl w:val="0"/>
          <w:numId w:val="12"/>
        </w:numPr>
        <w:spacing w:before="120" w:after="240" w:line="276" w:lineRule="auto"/>
        <w:ind w:left="714" w:right="-285" w:hanging="357"/>
      </w:pPr>
      <w:r>
        <w:t>Marcado CE</w:t>
      </w:r>
    </w:p>
    <w:p w:rsidR="00C7085E" w:rsidRDefault="00C7085E" w:rsidP="00B71B1A">
      <w:pPr>
        <w:widowControl/>
        <w:numPr>
          <w:ilvl w:val="0"/>
          <w:numId w:val="12"/>
        </w:numPr>
        <w:spacing w:before="120" w:after="240" w:line="276" w:lineRule="auto"/>
        <w:ind w:left="714" w:right="-285" w:hanging="357"/>
      </w:pPr>
      <w:r>
        <w:t>Tipo de cemento, si este tuviera alguna característica especial</w:t>
      </w:r>
    </w:p>
    <w:p w:rsidR="00C7085E" w:rsidRDefault="00C7085E" w:rsidP="00B71B1A">
      <w:pPr>
        <w:widowControl/>
        <w:numPr>
          <w:ilvl w:val="0"/>
          <w:numId w:val="12"/>
        </w:numPr>
        <w:spacing w:before="120" w:after="240" w:line="276" w:lineRule="auto"/>
        <w:ind w:left="714" w:right="-285" w:hanging="357"/>
      </w:pPr>
      <w:r>
        <w:t>Carga máxima de hincado, en los tubos de hinca</w:t>
      </w:r>
    </w:p>
    <w:p w:rsidR="00C7085E" w:rsidRDefault="00C7085E" w:rsidP="00B71B1A">
      <w:pPr>
        <w:spacing w:before="120" w:after="240" w:line="276" w:lineRule="auto"/>
        <w:ind w:right="-285"/>
      </w:pPr>
      <w:r>
        <w:t>Los tubos de hormigón armado podrán diseñarse de modo que la base de los mismos sea plana y no circular para así facilitar la instalación. Igualmente, en los tubos de diámetro superior a mil ochocientos milímetros (1.800 mm) se podrá disponer una pequeña plataforma o andén que permita que sean visitables, así como un pequeño canal de sección semicircular que facilite el transporte de las aguas residuales en tiempo seco.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El tipo de junta a emplear en las tuberías de hormigón armado será flexible mediante anillo elastomérico, siendo posible las disposiciones siguientes, atendiendo a la terminación de sus extremos:</w:t>
      </w:r>
    </w:p>
    <w:p w:rsidR="00C7085E" w:rsidRDefault="00C7085E" w:rsidP="00B71B1A">
      <w:pPr>
        <w:widowControl/>
        <w:numPr>
          <w:ilvl w:val="0"/>
          <w:numId w:val="12"/>
        </w:numPr>
        <w:spacing w:before="120" w:after="240" w:line="276" w:lineRule="auto"/>
        <w:ind w:right="-285"/>
      </w:pPr>
      <w:r>
        <w:t>Uniones con macho escalonado</w:t>
      </w:r>
    </w:p>
    <w:p w:rsidR="00C7085E" w:rsidRDefault="00C7085E" w:rsidP="00B71B1A">
      <w:pPr>
        <w:widowControl/>
        <w:numPr>
          <w:ilvl w:val="0"/>
          <w:numId w:val="12"/>
        </w:numPr>
        <w:spacing w:before="120" w:after="240" w:line="276" w:lineRule="auto"/>
        <w:ind w:right="-285"/>
      </w:pPr>
      <w:r>
        <w:t>Uniones con macho acanalado</w:t>
      </w:r>
    </w:p>
    <w:p w:rsidR="00C7085E" w:rsidRDefault="00C7085E" w:rsidP="00B71B1A">
      <w:pPr>
        <w:spacing w:before="120" w:after="240" w:line="276" w:lineRule="auto"/>
        <w:ind w:right="-285"/>
        <w:rPr>
          <w:rFonts w:cs="Arial"/>
          <w:bCs/>
          <w:i/>
          <w:color w:val="000000"/>
          <w:szCs w:val="22"/>
        </w:rPr>
      </w:pPr>
      <w:r>
        <w:t>Las juntas de elastómero deberán ser conformes con lo especificado en la norma UNE-EN 681: “</w:t>
      </w:r>
      <w:r>
        <w:rPr>
          <w:rFonts w:cs="Arial"/>
          <w:bCs/>
          <w:i/>
          <w:color w:val="000000"/>
          <w:szCs w:val="22"/>
        </w:rPr>
        <w:t>Juntas elastoméricas. Requisitos de los materiales para juntas de estanquidad de tuberías empleadas en canalizaciones de agua y en drenaje. Parte 1: Caucho vulcanizado”.</w:t>
      </w:r>
    </w:p>
    <w:p w:rsidR="00C7085E" w:rsidRDefault="00C7085E" w:rsidP="00B71B1A">
      <w:pPr>
        <w:spacing w:before="120" w:after="240" w:line="276" w:lineRule="auto"/>
        <w:ind w:right="-285"/>
      </w:pPr>
      <w:r>
        <w:t>Los tubos de hormigón que se instalen mediante hinca irán dispuestos con uniones rígidas, bien por virola fija, virola libre o por boquilla a medio espesor, quedando en</w:t>
      </w:r>
      <w:r>
        <w:rPr>
          <w:rFonts w:ascii="TimesNewRoman" w:hAnsi="TimesNewRoman" w:cs="TimesNewRoman"/>
          <w:szCs w:val="22"/>
        </w:rPr>
        <w:t xml:space="preserve"> cualquier caso, los frentes de los tubos siempre</w:t>
      </w:r>
      <w:r>
        <w:t xml:space="preserve"> </w:t>
      </w:r>
      <w:r>
        <w:rPr>
          <w:rFonts w:ascii="TimesNewRoman" w:hAnsi="TimesNewRoman" w:cs="TimesNewRoman"/>
          <w:szCs w:val="22"/>
        </w:rPr>
        <w:t>planos.</w:t>
      </w:r>
      <w:r>
        <w:t xml:space="preserve"> En los dos primeros casos, las virolas deberán ser de acero inoxidable conforme a lo indicado en la norma UNE-EN 10025.</w:t>
      </w:r>
    </w:p>
    <w:p w:rsidR="00DF30E5" w:rsidRDefault="00DF30E5" w:rsidP="00B71B1A">
      <w:pPr>
        <w:spacing w:before="120" w:after="240" w:line="276" w:lineRule="auto"/>
        <w:ind w:right="-285"/>
        <w:rPr>
          <w:i/>
        </w:rPr>
      </w:pP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Control de calidad</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Para el control de calidad de la fabricación de los tubos será de aplicación lo especificado en las normas UNE-EN 1916 y en la UNE 127916.</w:t>
      </w:r>
    </w:p>
    <w:p w:rsidR="00C7085E" w:rsidRDefault="00C7085E" w:rsidP="00B71B1A">
      <w:pPr>
        <w:spacing w:before="120" w:after="240" w:line="276" w:lineRule="auto"/>
        <w:ind w:right="-285"/>
      </w:pPr>
      <w:r>
        <w:t>Asimismo, en el caso de requerirse evaluación de la conformidad para todos los elementos, será de aplicación lo indicado en el Anexo H de la norma citada.</w:t>
      </w:r>
    </w:p>
    <w:p w:rsidR="00C7085E" w:rsidRDefault="00C7085E" w:rsidP="00B71B1A">
      <w:pPr>
        <w:spacing w:before="120" w:after="240" w:line="276" w:lineRule="auto"/>
        <w:ind w:right="-285"/>
        <w:rPr>
          <w:u w:val="single"/>
        </w:rPr>
      </w:pPr>
      <w:r>
        <w:rPr>
          <w:u w:val="single"/>
        </w:rPr>
        <w:t>Control de calidad de la instalación</w:t>
      </w:r>
    </w:p>
    <w:p w:rsidR="00C7085E" w:rsidRDefault="00C7085E" w:rsidP="00B71B1A">
      <w:pPr>
        <w:spacing w:before="120" w:after="240" w:line="276" w:lineRule="auto"/>
        <w:ind w:right="-285"/>
      </w:pPr>
      <w:r>
        <w:t>Se comprobará que la conducción está convenientemente colocada sobre el lecho de asiento, que no haya sufrido ningún desperfecto durante la manipulación y que deflexiones angulares máximas admitidas en las uniones flexibles de los tubos de hormigón serán las especificadas en la UNE-EN 1916.</w:t>
      </w:r>
    </w:p>
    <w:p w:rsidR="00C7085E" w:rsidRDefault="00C7085E" w:rsidP="00B71B1A">
      <w:pPr>
        <w:keepNext/>
        <w:spacing w:before="120" w:after="240" w:line="276" w:lineRule="auto"/>
        <w:ind w:right="-285"/>
        <w:rPr>
          <w:u w:val="single"/>
        </w:rPr>
      </w:pPr>
      <w:r>
        <w:rPr>
          <w:u w:val="single"/>
        </w:rPr>
        <w:t>Tolerancias</w:t>
      </w:r>
    </w:p>
    <w:p w:rsidR="00C7085E" w:rsidRDefault="00C7085E" w:rsidP="00B71B1A">
      <w:pPr>
        <w:keepNext/>
        <w:spacing w:before="120" w:after="240" w:line="276" w:lineRule="auto"/>
        <w:ind w:right="-285"/>
      </w:pPr>
      <w:r>
        <w:t xml:space="preserve">La tolerancia sobre el valor declarado para la longitud nominal (L) de los tubos, según UNE-EN 1916 y UNE 127916 será:  </w:t>
      </w:r>
    </w:p>
    <w:p w:rsidR="00C7085E" w:rsidRDefault="00C7085E" w:rsidP="00B71B1A">
      <w:pPr>
        <w:keepNext/>
        <w:widowControl/>
        <w:numPr>
          <w:ilvl w:val="0"/>
          <w:numId w:val="12"/>
        </w:numPr>
        <w:suppressAutoHyphens/>
        <w:spacing w:before="120" w:after="240" w:line="276" w:lineRule="auto"/>
        <w:ind w:left="714" w:right="-285" w:hanging="357"/>
      </w:pPr>
      <w:r>
        <w:t xml:space="preserve">DN&lt; 1500 </w:t>
      </w:r>
      <w:r>
        <w:tab/>
      </w:r>
      <w:r>
        <w:tab/>
      </w:r>
      <w:r>
        <w:rPr>
          <w:rFonts w:cs="Arial"/>
        </w:rPr>
        <w:t>±</w:t>
      </w:r>
      <w:r>
        <w:t xml:space="preserve"> 1% del valor de la longitud declarada por el fabricante</w:t>
      </w:r>
    </w:p>
    <w:p w:rsidR="00C7085E" w:rsidRDefault="00C7085E" w:rsidP="00B71B1A">
      <w:pPr>
        <w:keepNext/>
        <w:widowControl/>
        <w:numPr>
          <w:ilvl w:val="0"/>
          <w:numId w:val="12"/>
        </w:numPr>
        <w:suppressAutoHyphens/>
        <w:spacing w:before="120" w:after="240" w:line="276" w:lineRule="auto"/>
        <w:ind w:left="714" w:right="-285" w:hanging="357"/>
      </w:pPr>
      <w:r>
        <w:t xml:space="preserve">DN </w:t>
      </w:r>
      <w:r>
        <w:rPr>
          <w:rFonts w:cs="Arial"/>
        </w:rPr>
        <w:t>≥</w:t>
      </w:r>
      <w:r>
        <w:t xml:space="preserve"> 1500</w:t>
      </w:r>
      <w:r>
        <w:tab/>
      </w:r>
      <w:r>
        <w:tab/>
        <w:t>+50 mm/-20 mm</w:t>
      </w:r>
    </w:p>
    <w:p w:rsidR="00C7085E" w:rsidRDefault="00C7085E" w:rsidP="00B71B1A">
      <w:pPr>
        <w:spacing w:before="120" w:after="240" w:line="276" w:lineRule="auto"/>
        <w:ind w:right="-285"/>
      </w:pPr>
      <w:r>
        <w:t>La tolerancia sobre el espesor de la pared del tubo será el menor valor de los siguientes:</w:t>
      </w:r>
    </w:p>
    <w:p w:rsidR="00C7085E" w:rsidRDefault="00C7085E" w:rsidP="00B71B1A">
      <w:pPr>
        <w:widowControl/>
        <w:numPr>
          <w:ilvl w:val="0"/>
          <w:numId w:val="12"/>
        </w:numPr>
        <w:suppressAutoHyphens/>
        <w:spacing w:before="120" w:after="240" w:line="276" w:lineRule="auto"/>
        <w:ind w:right="-285"/>
      </w:pPr>
      <w:r>
        <w:t>El noventa y cinco por ciento (95%) del espesor de la pared declarado por el fabricante</w:t>
      </w:r>
    </w:p>
    <w:p w:rsidR="00C7085E" w:rsidRDefault="00C7085E" w:rsidP="00B71B1A">
      <w:pPr>
        <w:widowControl/>
        <w:numPr>
          <w:ilvl w:val="0"/>
          <w:numId w:val="12"/>
        </w:numPr>
        <w:suppressAutoHyphens/>
        <w:spacing w:before="120" w:after="240" w:line="276" w:lineRule="auto"/>
        <w:ind w:right="-285"/>
      </w:pPr>
      <w:r>
        <w:t>El espesor de pared declarado por el fabricante menos cinco milímetros (5 mm)</w:t>
      </w:r>
    </w:p>
    <w:p w:rsidR="00C7085E" w:rsidRDefault="00C7085E" w:rsidP="00B71B1A">
      <w:pPr>
        <w:spacing w:before="120" w:after="240" w:line="276" w:lineRule="auto"/>
        <w:ind w:right="-285"/>
      </w:pPr>
      <w:r>
        <w:t>La tolerancia admitida en la rectitud del tubo será menor del cero con treinta y cinco por ciento (0,35%) de su longitud.</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El precio al que se abonará cada tubería será el que corresponda a su diámetro, clase y tipo de hormigón utilizado en su fabricación, de acuerdo con los precios que figuren en el Cuadro de Precios vigente de Canal de Isabel II Gestión.</w:t>
      </w:r>
    </w:p>
    <w:p w:rsidR="00C7085E" w:rsidRDefault="00C7085E" w:rsidP="00B71B1A">
      <w:pPr>
        <w:spacing w:before="120" w:after="240" w:line="276" w:lineRule="auto"/>
        <w:ind w:right="-285"/>
      </w:pPr>
      <w:r>
        <w:t>En los precios se considera incluida la parte proporcional de junta elastomérica, así como las pruebas necesarias para ponerla en funcionamiento.</w:t>
      </w:r>
    </w:p>
    <w:p w:rsidR="00DF30E5" w:rsidRDefault="00DF30E5" w:rsidP="00B71B1A">
      <w:pPr>
        <w:spacing w:before="120" w:after="240" w:line="276" w:lineRule="auto"/>
        <w:ind w:right="-285"/>
      </w:pPr>
    </w:p>
    <w:p w:rsidR="00DF30E5" w:rsidRDefault="00DF30E5"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67" w:name="_Toc414021793"/>
      <w:bookmarkStart w:id="168" w:name="_Toc448741415"/>
      <w:r>
        <w:lastRenderedPageBreak/>
        <w:t>Tubería de hormigón armado con camisa de chapa (H/C)</w:t>
      </w:r>
      <w:bookmarkEnd w:id="167"/>
      <w:bookmarkEnd w:id="168"/>
    </w:p>
    <w:p w:rsidR="00C7085E" w:rsidRDefault="00C7085E" w:rsidP="00B71B1A">
      <w:pPr>
        <w:keepNext/>
        <w:keepLines/>
        <w:spacing w:before="120" w:after="240" w:line="276" w:lineRule="auto"/>
        <w:ind w:right="-285"/>
      </w:pPr>
      <w:r>
        <w:t>Las tuberías de hormigón armado con camisa de chapa sólo se emplearán en redes de abastecimiento.</w:t>
      </w:r>
    </w:p>
    <w:p w:rsidR="00C7085E" w:rsidRDefault="00C7085E" w:rsidP="00B71B1A">
      <w:pPr>
        <w:spacing w:before="120" w:after="240" w:line="276" w:lineRule="auto"/>
        <w:ind w:right="-285"/>
        <w:rPr>
          <w:i/>
        </w:rPr>
      </w:pPr>
      <w:r>
        <w:t>En el cálculo, fabricación, control e instalación de las tuberías de hormigón armado con camisa de chapa deberá cumplirse lo especificado por las siguientes normas e instrucciones: UNE-EN 639: “</w:t>
      </w:r>
      <w:r>
        <w:rPr>
          <w:i/>
        </w:rPr>
        <w:t>Prescripciones comunes para tubos de presión de hormigón incluyendo juntas y accesorios”</w:t>
      </w:r>
      <w:r>
        <w:t xml:space="preserve">, UNE-EN 641: </w:t>
      </w:r>
      <w:r>
        <w:rPr>
          <w:i/>
        </w:rPr>
        <w:t xml:space="preserve">“Tubos de presión de hormigón armado, con camisa de chapa, incluyendo juntas y accesorios” </w:t>
      </w:r>
      <w:r>
        <w:t>e Instrucción de Hormigón Estructural (EHE).</w:t>
      </w:r>
    </w:p>
    <w:p w:rsidR="00C7085E" w:rsidRDefault="00C7085E" w:rsidP="00B71B1A">
      <w:pPr>
        <w:spacing w:before="120" w:after="240" w:line="276" w:lineRule="auto"/>
        <w:ind w:right="-285"/>
        <w:rPr>
          <w:rFonts w:cs="Arial"/>
          <w:szCs w:val="22"/>
        </w:rPr>
      </w:pPr>
      <w:r>
        <w:rPr>
          <w:rFonts w:cs="Arial"/>
        </w:rPr>
        <w:t>Las tuberías de hormigón armado con camisa de chapa podrán usarse en conducciones de diámetros igual o superior a 1.000 mm, hasta los 3.500 mm.</w:t>
      </w:r>
      <w:r>
        <w:rPr>
          <w:rFonts w:cs="Arial"/>
          <w:szCs w:val="22"/>
        </w:rPr>
        <w:t xml:space="preserve"> La serie de diámetros a emplear será:</w:t>
      </w:r>
    </w:p>
    <w:p w:rsidR="00C7085E" w:rsidRDefault="00C7085E" w:rsidP="00B71B1A">
      <w:pPr>
        <w:spacing w:before="120" w:after="240" w:line="276" w:lineRule="auto"/>
        <w:ind w:right="-285"/>
        <w:jc w:val="center"/>
        <w:rPr>
          <w:rFonts w:cs="Arial"/>
          <w:szCs w:val="22"/>
        </w:rPr>
      </w:pPr>
      <w:r>
        <w:rPr>
          <w:rFonts w:cs="Arial"/>
          <w:szCs w:val="22"/>
        </w:rPr>
        <w:t>1.000, 1.100, 1.200, 1.250, 1.400, 1.500, 1.600, 1.800, 2.000, 2.100, 2.200, 2.400, 2.500, 2.600, 2.800, 3.000, 3.200 y 3.500</w:t>
      </w:r>
    </w:p>
    <w:p w:rsidR="00C7085E" w:rsidRDefault="00C7085E" w:rsidP="00B71B1A">
      <w:pPr>
        <w:spacing w:before="120" w:after="240" w:line="276" w:lineRule="auto"/>
        <w:ind w:right="-285"/>
        <w:rPr>
          <w:rFonts w:cs="Arial"/>
        </w:rPr>
      </w:pPr>
      <w:r>
        <w:rPr>
          <w:rFonts w:cs="Arial"/>
        </w:rPr>
        <w:t>La clasificación de los tubos se realiza en base a su diámetro nominal (DN), refiriéndose éste a su diámetro interior (ID) y a la presión máxima de diseño (MDP) que resistan.</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rPr>
          <w:rFonts w:cs="Arial Negrita"/>
        </w:rPr>
      </w:pPr>
      <w:r>
        <w:t>Materiales</w:t>
      </w:r>
    </w:p>
    <w:p w:rsidR="00C7085E" w:rsidRDefault="00C7085E" w:rsidP="00B71B1A">
      <w:pPr>
        <w:keepNext/>
        <w:spacing w:before="120" w:after="240" w:line="276" w:lineRule="auto"/>
        <w:ind w:right="-285"/>
      </w:pPr>
      <w:r>
        <w:t>Los materiales a emplear en los tubos de hormigón armado (cemento, agua, áridos, aditivos, adiciones, acero para armaduras pasivas y chapas de acero) deberán cumplir lo especificado por la Instrucción de Hormigón Estructural (EHE), así como lo que complementariamente se expone a continuación.</w:t>
      </w:r>
    </w:p>
    <w:p w:rsidR="00C7085E" w:rsidRDefault="00C7085E" w:rsidP="00B71B1A">
      <w:pPr>
        <w:widowControl/>
        <w:numPr>
          <w:ilvl w:val="0"/>
          <w:numId w:val="12"/>
        </w:numPr>
        <w:suppressAutoHyphens/>
        <w:spacing w:before="120" w:after="240" w:line="276" w:lineRule="auto"/>
        <w:ind w:right="-285"/>
      </w:pPr>
      <w:r>
        <w:t>El cemento a emplear en ningún caso será aluminoso y deberá cumplir la vigente Instrucción para la recepción de cementos (RC-08)</w:t>
      </w:r>
    </w:p>
    <w:p w:rsidR="00C7085E" w:rsidRDefault="00C7085E" w:rsidP="00B71B1A">
      <w:pPr>
        <w:widowControl/>
        <w:numPr>
          <w:ilvl w:val="0"/>
          <w:numId w:val="12"/>
        </w:numPr>
        <w:suppressAutoHyphens/>
        <w:spacing w:before="120" w:after="240" w:line="276" w:lineRule="auto"/>
        <w:ind w:right="-285"/>
      </w:pPr>
      <w:r>
        <w:t>Se emplearán hormigones cuya resistencia característica no sea inferior a sea inferior a treinta y cinco newton por milímetro cuadrado (35 N/mm</w:t>
      </w:r>
      <w:r>
        <w:rPr>
          <w:vertAlign w:val="superscript"/>
        </w:rPr>
        <w:t>2</w:t>
      </w:r>
      <w:r>
        <w:t>).</w:t>
      </w:r>
    </w:p>
    <w:p w:rsidR="00C7085E" w:rsidRDefault="00C7085E" w:rsidP="00B71B1A">
      <w:pPr>
        <w:widowControl/>
        <w:numPr>
          <w:ilvl w:val="0"/>
          <w:numId w:val="12"/>
        </w:numPr>
        <w:suppressAutoHyphens/>
        <w:spacing w:before="120" w:after="240" w:line="276" w:lineRule="auto"/>
        <w:ind w:right="-285"/>
      </w:pPr>
      <w:r>
        <w:t>Las barras o alambres de las armaduras pasivas deberán ser de los siguientes diámetros: 6, 8, 10 y 12 mm y el acero a emplear será de calidad soldable, cuando sea preciso. Las barras corrugadas cumplirán con las especificaciones de la norma UNE 36068 y las mallas electrosoldadas con las de la norma UNE 36092.</w:t>
      </w:r>
    </w:p>
    <w:p w:rsidR="00C7085E" w:rsidRDefault="00C7085E" w:rsidP="00B71B1A">
      <w:pPr>
        <w:spacing w:before="120" w:after="240" w:line="276" w:lineRule="auto"/>
        <w:ind w:left="708" w:right="-285"/>
      </w:pPr>
      <w:r>
        <w:t>En la armadura principal (transversal) se utilizarán barras o alambres corrugados, mientras que en la armadura auxiliar (longitudinal) se utilizarán aceros lisos.</w:t>
      </w:r>
    </w:p>
    <w:p w:rsidR="00C7085E" w:rsidRDefault="00C7085E" w:rsidP="00B71B1A">
      <w:pPr>
        <w:widowControl/>
        <w:numPr>
          <w:ilvl w:val="0"/>
          <w:numId w:val="12"/>
        </w:numPr>
        <w:suppressAutoHyphens/>
        <w:spacing w:before="120" w:after="240" w:line="276" w:lineRule="auto"/>
        <w:ind w:right="-285"/>
      </w:pPr>
      <w:r>
        <w:t>La chapa de acero empleada en las camisas de los tubos de hormigón debe ser dulce y espesor uniforme (en ningún caso inferior a 6 mm). En su fabricación podrán emplearse chapas de tipo S-235 JR, según la norma UNE-EN 10025 o de calidad superior.</w:t>
      </w:r>
    </w:p>
    <w:p w:rsidR="00C7085E" w:rsidRDefault="00C7085E" w:rsidP="00B71B1A">
      <w:pPr>
        <w:spacing w:before="120" w:after="240" w:line="276" w:lineRule="auto"/>
        <w:ind w:right="-285"/>
      </w:pPr>
      <w:r>
        <w:lastRenderedPageBreak/>
        <w:t>Todos los tubos deberán ir indeleblemente marcados de forma claramente visible y duradera con la siguiente información como mínimo en el extremo macho o hembra:</w:t>
      </w:r>
    </w:p>
    <w:p w:rsidR="00C7085E" w:rsidRDefault="00C7085E" w:rsidP="00B71B1A">
      <w:pPr>
        <w:widowControl/>
        <w:numPr>
          <w:ilvl w:val="0"/>
          <w:numId w:val="12"/>
        </w:numPr>
        <w:suppressAutoHyphens/>
        <w:spacing w:before="120" w:after="240" w:line="276" w:lineRule="auto"/>
        <w:ind w:left="714" w:right="-285" w:hanging="357"/>
      </w:pPr>
      <w:r>
        <w:t>Referencia a la norma EN 641</w:t>
      </w:r>
    </w:p>
    <w:p w:rsidR="00C7085E" w:rsidRDefault="00C7085E" w:rsidP="00B71B1A">
      <w:pPr>
        <w:widowControl/>
        <w:numPr>
          <w:ilvl w:val="0"/>
          <w:numId w:val="12"/>
        </w:numPr>
        <w:suppressAutoHyphens/>
        <w:spacing w:before="120" w:after="240" w:line="276" w:lineRule="auto"/>
        <w:ind w:left="714" w:right="-285" w:hanging="357"/>
      </w:pPr>
      <w:r>
        <w:t>Una “P” para indicar que el tubo es apto para el transporte de agua para consumo humano.</w:t>
      </w:r>
    </w:p>
    <w:p w:rsidR="00C7085E" w:rsidRDefault="00C7085E" w:rsidP="00B71B1A">
      <w:pPr>
        <w:widowControl/>
        <w:numPr>
          <w:ilvl w:val="0"/>
          <w:numId w:val="12"/>
        </w:numPr>
        <w:suppressAutoHyphens/>
        <w:spacing w:before="120" w:after="240" w:line="276" w:lineRule="auto"/>
        <w:ind w:left="714" w:right="-285" w:hanging="357"/>
      </w:pPr>
      <w:r>
        <w:t>Fabricante y lugar de producción</w:t>
      </w:r>
    </w:p>
    <w:p w:rsidR="00C7085E" w:rsidRDefault="00C7085E" w:rsidP="00B71B1A">
      <w:pPr>
        <w:widowControl/>
        <w:numPr>
          <w:ilvl w:val="0"/>
          <w:numId w:val="12"/>
        </w:numPr>
        <w:suppressAutoHyphens/>
        <w:spacing w:before="120" w:after="240" w:line="276" w:lineRule="auto"/>
        <w:ind w:left="714" w:right="-285" w:hanging="357"/>
      </w:pPr>
      <w:r>
        <w:t>Fecha de fabricación</w:t>
      </w:r>
    </w:p>
    <w:p w:rsidR="00C7085E" w:rsidRDefault="00C7085E" w:rsidP="00B71B1A">
      <w:pPr>
        <w:widowControl/>
        <w:numPr>
          <w:ilvl w:val="0"/>
          <w:numId w:val="12"/>
        </w:numPr>
        <w:suppressAutoHyphens/>
        <w:spacing w:before="120" w:after="240" w:line="276" w:lineRule="auto"/>
        <w:ind w:left="714" w:right="-285" w:hanging="357"/>
      </w:pPr>
      <w:r>
        <w:t>Certificación por tercera parte, si procede</w:t>
      </w:r>
    </w:p>
    <w:p w:rsidR="00C7085E" w:rsidRDefault="00C7085E" w:rsidP="00B71B1A">
      <w:pPr>
        <w:widowControl/>
        <w:numPr>
          <w:ilvl w:val="0"/>
          <w:numId w:val="12"/>
        </w:numPr>
        <w:suppressAutoHyphens/>
        <w:spacing w:before="120" w:after="240" w:line="276" w:lineRule="auto"/>
        <w:ind w:left="714" w:right="-285" w:hanging="357"/>
      </w:pPr>
      <w:r>
        <w:t>Diámetro y resistencia mecánica</w:t>
      </w:r>
    </w:p>
    <w:p w:rsidR="00C7085E" w:rsidRDefault="00C7085E" w:rsidP="00B71B1A">
      <w:pPr>
        <w:widowControl/>
        <w:numPr>
          <w:ilvl w:val="0"/>
          <w:numId w:val="12"/>
        </w:numPr>
        <w:suppressAutoHyphens/>
        <w:spacing w:before="120" w:after="240" w:line="276" w:lineRule="auto"/>
        <w:ind w:left="714" w:right="-285" w:hanging="357"/>
      </w:pPr>
      <w:r>
        <w:t>Identificación de un uso especial, cuando proceda</w:t>
      </w:r>
    </w:p>
    <w:p w:rsidR="00C7085E" w:rsidRDefault="00C7085E" w:rsidP="00B71B1A">
      <w:pPr>
        <w:widowControl/>
        <w:numPr>
          <w:ilvl w:val="0"/>
          <w:numId w:val="12"/>
        </w:numPr>
        <w:suppressAutoHyphens/>
        <w:spacing w:before="120" w:after="240" w:line="276" w:lineRule="auto"/>
        <w:ind w:left="714" w:right="-285" w:hanging="357"/>
      </w:pPr>
      <w:r>
        <w:t>En los tubos biselados su desviación angular. El lado corto será igualmente identificado.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Para los tubos de hormigón armado con camisa de chapa se utilizan, o bien uniones rígidas (uniones soldadas), o bien uniones flexibles con anillo elastomérico, las cuales deberán ser conformes con lo especificado para las mismas en la UNE-EN 639.</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Para el control de calidad de la fabricación de los componentes de las tuberías de hormigón armado con camisa de chapa será de aplicación lo especificado en las normas UNE-EN 639, UNE-EN 641 y en la EHE.</w:t>
      </w:r>
    </w:p>
    <w:p w:rsidR="00C7085E" w:rsidRDefault="00C7085E" w:rsidP="00B71B1A">
      <w:pPr>
        <w:keepNext/>
        <w:spacing w:before="120" w:after="240" w:line="276" w:lineRule="auto"/>
        <w:ind w:right="-285"/>
        <w:rPr>
          <w:u w:val="single"/>
        </w:rPr>
      </w:pPr>
      <w:r>
        <w:rPr>
          <w:u w:val="single"/>
        </w:rPr>
        <w:t>Control de calidad de la instalación</w:t>
      </w:r>
    </w:p>
    <w:p w:rsidR="00C7085E" w:rsidRDefault="00C7085E" w:rsidP="00B71B1A">
      <w:pPr>
        <w:spacing w:before="120" w:after="240" w:line="276" w:lineRule="auto"/>
        <w:ind w:right="-285"/>
      </w:pPr>
      <w:r>
        <w:t>Se comprobará que la conducción está convenientemente colocada sobre el lecho de asiento, que no haya sufrido ningún desperfecto durante la manipulación y que las deflexiones angulares máximas admitidas, en el caso de uniones flexibles, serán las establecidas en la UNE-EN 639.</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t>Las dimensiones normalizadas de los tubos de hormigón armado con camisa de chapa serán las indicadas en la norma UNE 641.</w:t>
      </w:r>
    </w:p>
    <w:p w:rsidR="00C7085E" w:rsidRDefault="00C7085E" w:rsidP="00B71B1A">
      <w:pPr>
        <w:spacing w:before="120" w:after="240" w:line="276" w:lineRule="auto"/>
        <w:ind w:right="-285"/>
      </w:pPr>
      <w:r>
        <w:t xml:space="preserve">Aunque la longitud de los tubos (L) no está normalizada, en cualquier caso la tolerancia sobre el valor declarado por el fabricante debe ser de más o menos diez milímetros (+/-10 </w:t>
      </w:r>
      <w:r>
        <w:lastRenderedPageBreak/>
        <w:t>mm) y la relación L/DN no mayor de veintiuno (21), de acuerdo con la UNE-EN 639.</w:t>
      </w:r>
    </w:p>
    <w:p w:rsidR="00C7085E" w:rsidRDefault="00C7085E" w:rsidP="00B71B1A">
      <w:pPr>
        <w:spacing w:before="120" w:after="240" w:line="276" w:lineRule="auto"/>
        <w:ind w:right="-285"/>
      </w:pPr>
      <w:r>
        <w:t>Las desviaciones angulares admisibles para las uniones flexibles son las indicadas en la UNE-EN 639.</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tuberías de hormigón armado con camisa de chapa se medirán por metros (m) de conducción totalmente terminada y probada en obra.</w:t>
      </w:r>
    </w:p>
    <w:p w:rsidR="00C7085E" w:rsidRDefault="00C7085E" w:rsidP="00B71B1A">
      <w:pPr>
        <w:spacing w:before="120" w:after="240" w:line="276" w:lineRule="auto"/>
        <w:ind w:right="-285"/>
      </w:pPr>
      <w:r>
        <w:t>El precio al que se abonará cada tubería será el que corresponda a su diámetro y presión máxima de diseño, según los precios que figuren en el Cuadro de Precios vigente de Canal de Isabel II Gestión.</w:t>
      </w:r>
    </w:p>
    <w:p w:rsidR="00C7085E" w:rsidRDefault="00C7085E" w:rsidP="00B71B1A">
      <w:pPr>
        <w:spacing w:before="120" w:after="240" w:line="276" w:lineRule="auto"/>
        <w:ind w:right="-285"/>
      </w:pPr>
      <w:r>
        <w:t xml:space="preserve">En los precios se consideran incluidas la armadura interior de camisa de chapa de al menos seis milímetros (6 mm) con su posible refuerzo, la armadura exterior, la protección exterior de dos manos de pintura epoxi-brea de setenta y cinco micras (75 </w:t>
      </w:r>
      <w:r>
        <w:rPr>
          <w:rFonts w:cs="Arial"/>
        </w:rPr>
        <w:t>µ</w:t>
      </w:r>
      <w:r>
        <w:t>m) cada una, así como la parte proporcional de junta soldada reforzada con anillo armado, la colocación y las pruebas de recepción.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69" w:name="_Toc414021794"/>
      <w:bookmarkStart w:id="170" w:name="_Toc448741416"/>
      <w:r>
        <w:t>Tubería de hormigón pretensado con camisa de chapa</w:t>
      </w:r>
      <w:bookmarkEnd w:id="169"/>
      <w:bookmarkEnd w:id="170"/>
    </w:p>
    <w:p w:rsidR="00C7085E" w:rsidRDefault="00C7085E" w:rsidP="00B71B1A">
      <w:pPr>
        <w:spacing w:before="120" w:after="240" w:line="276" w:lineRule="auto"/>
        <w:ind w:right="-285"/>
      </w:pPr>
      <w:r>
        <w:t>Las tuberías de hormigón pretensado con camisa de chapa sólo se emplearán en redes de abastecimiento.</w:t>
      </w:r>
    </w:p>
    <w:p w:rsidR="00C7085E" w:rsidRDefault="00C7085E" w:rsidP="00B71B1A">
      <w:pPr>
        <w:spacing w:before="120" w:after="240" w:line="276" w:lineRule="auto"/>
        <w:ind w:right="-285"/>
        <w:rPr>
          <w:rFonts w:cs="Arial"/>
        </w:rPr>
      </w:pPr>
      <w:r>
        <w:rPr>
          <w:rFonts w:cs="Arial"/>
        </w:rPr>
        <w:t xml:space="preserve">Para el cálculo, fabricación, control e instalación de las tuberías de hormigón pretensado con camisa de chapa deberá cumplirse lo especificado en la norma UNE-EN 642: </w:t>
      </w:r>
      <w:r>
        <w:rPr>
          <w:rFonts w:cs="Arial"/>
          <w:i/>
        </w:rPr>
        <w:t xml:space="preserve">“Tubos de presión de hormigón pretensado, con y sin camisa de chapa, incluyendo juntas, accesorios y prescripciones particulares relativos al acero de pretensar para tubos” </w:t>
      </w:r>
      <w:r>
        <w:rPr>
          <w:rFonts w:cs="Arial"/>
        </w:rPr>
        <w:t>y en la</w:t>
      </w:r>
      <w:r>
        <w:rPr>
          <w:rFonts w:cs="Arial"/>
          <w:i/>
        </w:rPr>
        <w:t xml:space="preserve"> </w:t>
      </w:r>
      <w:r>
        <w:rPr>
          <w:rFonts w:cs="Arial"/>
        </w:rPr>
        <w:t>Instrucción de Hormigón Estructural (EHE).</w:t>
      </w:r>
    </w:p>
    <w:p w:rsidR="00C7085E" w:rsidRDefault="00C7085E" w:rsidP="00B71B1A">
      <w:pPr>
        <w:spacing w:before="120" w:after="240" w:line="276" w:lineRule="auto"/>
        <w:ind w:right="-285"/>
        <w:rPr>
          <w:rFonts w:cs="Arial"/>
          <w:szCs w:val="22"/>
        </w:rPr>
      </w:pPr>
      <w:r>
        <w:rPr>
          <w:rFonts w:cs="Arial"/>
        </w:rPr>
        <w:t>Las tuberías de hormigón pretensado con camisa de chapa podrán usarse en conducciones de diámetros igual o superior a 1.000 mm, hasta los 3.500 mm.</w:t>
      </w:r>
      <w:r>
        <w:rPr>
          <w:rFonts w:cs="Arial"/>
          <w:szCs w:val="22"/>
        </w:rPr>
        <w:t xml:space="preserve"> La serie de diámetros a utilizar será:</w:t>
      </w:r>
    </w:p>
    <w:p w:rsidR="00C7085E" w:rsidRDefault="00C7085E" w:rsidP="00B71B1A">
      <w:pPr>
        <w:spacing w:before="120" w:after="240" w:line="276" w:lineRule="auto"/>
        <w:ind w:right="-285"/>
        <w:jc w:val="center"/>
        <w:rPr>
          <w:rFonts w:cs="Arial"/>
          <w:szCs w:val="22"/>
        </w:rPr>
      </w:pPr>
      <w:r>
        <w:rPr>
          <w:rFonts w:cs="Arial"/>
          <w:szCs w:val="22"/>
        </w:rPr>
        <w:t>1.000, 1.100, 1.200, 1.250, 1.400, 1.500, 1.600, 1.800, 2.000, 2.100, 2.200, 2.400, 2.500, 2.600, 2.800, 3.000, 3.200 y 3.500</w:t>
      </w:r>
    </w:p>
    <w:p w:rsidR="00C7085E" w:rsidRDefault="00C7085E" w:rsidP="00B71B1A">
      <w:pPr>
        <w:spacing w:before="120" w:after="240" w:line="276" w:lineRule="auto"/>
        <w:ind w:right="-285"/>
        <w:rPr>
          <w:rFonts w:cs="Arial"/>
        </w:rPr>
      </w:pPr>
      <w:r>
        <w:rPr>
          <w:rFonts w:cs="Arial"/>
        </w:rPr>
        <w:t>La clasificación de los tubos se realiza en base a su diámetro nominal (DN), refiriéndose éste a su diámetro interior (ID) y a la presión máxima de diseño (MDP) que resistan.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cs="Arial Negrita"/>
        </w:rPr>
      </w:pPr>
      <w:r>
        <w:t>Materiales</w:t>
      </w:r>
    </w:p>
    <w:p w:rsidR="00C7085E" w:rsidRDefault="00C7085E" w:rsidP="00B71B1A">
      <w:pPr>
        <w:spacing w:before="120" w:after="240" w:line="276" w:lineRule="auto"/>
        <w:ind w:right="-285"/>
        <w:rPr>
          <w:rFonts w:cs="Arial"/>
        </w:rPr>
      </w:pPr>
      <w:r>
        <w:rPr>
          <w:rFonts w:cs="Arial"/>
        </w:rPr>
        <w:t>Los materiales a emplear en los tubos de hormigón pretensado deberán cumplir lo especificado por la Instrucción de Hormigón Estructural (EHE), así como lo que complementariamente se expone a continuación.</w:t>
      </w:r>
    </w:p>
    <w:p w:rsidR="00C7085E" w:rsidRDefault="00C7085E" w:rsidP="00B71B1A">
      <w:pPr>
        <w:widowControl/>
        <w:numPr>
          <w:ilvl w:val="0"/>
          <w:numId w:val="12"/>
        </w:numPr>
        <w:suppressAutoHyphens/>
        <w:spacing w:before="120" w:after="240" w:line="276" w:lineRule="auto"/>
        <w:ind w:left="714" w:right="-285" w:hanging="357"/>
        <w:rPr>
          <w:rFonts w:cs="Arial"/>
        </w:rPr>
      </w:pPr>
      <w:r>
        <w:rPr>
          <w:rFonts w:cs="Arial"/>
        </w:rPr>
        <w:t>El cemento a emplear en ningún caso será aluminoso y deberá cumplir la vigente Instrucción para la recepción de cementos (RC-08)</w:t>
      </w:r>
    </w:p>
    <w:p w:rsidR="00C7085E" w:rsidRDefault="00C7085E" w:rsidP="00B71B1A">
      <w:pPr>
        <w:widowControl/>
        <w:numPr>
          <w:ilvl w:val="0"/>
          <w:numId w:val="12"/>
        </w:numPr>
        <w:suppressAutoHyphens/>
        <w:spacing w:before="120" w:after="240" w:line="276" w:lineRule="auto"/>
        <w:ind w:left="714" w:right="-285" w:hanging="357"/>
      </w:pPr>
      <w:r>
        <w:lastRenderedPageBreak/>
        <w:t xml:space="preserve">Se emplearán hormigones cuya resistencia característica no sea inferior a treinta y cinco </w:t>
      </w:r>
      <w:proofErr w:type="gramStart"/>
      <w:r>
        <w:t>newton</w:t>
      </w:r>
      <w:proofErr w:type="gramEnd"/>
      <w:r>
        <w:t xml:space="preserve"> por milímetro cuadrado (35 N/mm</w:t>
      </w:r>
      <w:r>
        <w:rPr>
          <w:vertAlign w:val="superscript"/>
        </w:rPr>
        <w:t>2</w:t>
      </w:r>
      <w:r>
        <w:t>).</w:t>
      </w:r>
    </w:p>
    <w:p w:rsidR="00C7085E" w:rsidRDefault="00C7085E" w:rsidP="00B71B1A">
      <w:pPr>
        <w:widowControl/>
        <w:numPr>
          <w:ilvl w:val="0"/>
          <w:numId w:val="12"/>
        </w:numPr>
        <w:suppressAutoHyphens/>
        <w:spacing w:before="120" w:after="240" w:line="276" w:lineRule="auto"/>
        <w:ind w:left="714" w:right="-285" w:hanging="357"/>
      </w:pPr>
      <w:r>
        <w:t>La chapa de acero empleada en las camisas debe ser dulce y espesor uniforme (en ningún caso inferior a 6 mm). En su fabricación podrán emplearse chapas de tipo S-235 JR, según la norma UNE-EN 10025 o de calidad superior.</w:t>
      </w:r>
    </w:p>
    <w:p w:rsidR="00C7085E" w:rsidRDefault="00C7085E" w:rsidP="00B71B1A">
      <w:pPr>
        <w:keepNext/>
        <w:keepLines/>
        <w:widowControl/>
        <w:numPr>
          <w:ilvl w:val="0"/>
          <w:numId w:val="12"/>
        </w:numPr>
        <w:spacing w:before="120" w:after="240" w:line="276" w:lineRule="auto"/>
        <w:ind w:right="-285"/>
      </w:pPr>
      <w:r>
        <w:t>Los alambres de pretensado deberán ser de los siguientes diámetros: 5, 6 y 7 mm y deberán cumplir con lo especificado en la UNE 36094, admitiéndose los siguientes tipos: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025"/>
        <w:gridCol w:w="2161"/>
        <w:gridCol w:w="2466"/>
      </w:tblGrid>
      <w:tr w:rsidR="00C7085E" w:rsidTr="00C7085E">
        <w:trPr>
          <w:jc w:val="center"/>
        </w:trPr>
        <w:tc>
          <w:tcPr>
            <w:tcW w:w="2025" w:type="dxa"/>
            <w:tcBorders>
              <w:top w:val="single" w:sz="4" w:space="0" w:color="auto"/>
              <w:left w:val="single" w:sz="4" w:space="0" w:color="auto"/>
              <w:bottom w:val="single" w:sz="4" w:space="0" w:color="auto"/>
              <w:right w:val="nil"/>
            </w:tcBorders>
            <w:vAlign w:val="center"/>
            <w:hideMark/>
          </w:tcPr>
          <w:p w:rsidR="00C7085E" w:rsidRDefault="00C7085E" w:rsidP="00B71B1A">
            <w:pPr>
              <w:keepNext/>
              <w:keepLines/>
              <w:spacing w:before="120" w:after="240" w:line="276" w:lineRule="auto"/>
              <w:ind w:right="-285"/>
              <w:jc w:val="center"/>
              <w:rPr>
                <w:b/>
              </w:rPr>
            </w:pPr>
            <w:r>
              <w:rPr>
                <w:b/>
              </w:rPr>
              <w:t>Designación</w:t>
            </w:r>
          </w:p>
        </w:tc>
        <w:tc>
          <w:tcPr>
            <w:tcW w:w="2161" w:type="dxa"/>
            <w:tcBorders>
              <w:top w:val="single" w:sz="4" w:space="0" w:color="auto"/>
              <w:left w:val="nil"/>
              <w:bottom w:val="single" w:sz="4" w:space="0" w:color="auto"/>
              <w:right w:val="nil"/>
            </w:tcBorders>
            <w:hideMark/>
          </w:tcPr>
          <w:p w:rsidR="00C7085E" w:rsidRDefault="00C7085E" w:rsidP="00B71B1A">
            <w:pPr>
              <w:keepNext/>
              <w:keepLines/>
              <w:spacing w:before="120" w:after="240" w:line="276" w:lineRule="auto"/>
              <w:ind w:right="-285"/>
              <w:jc w:val="center"/>
              <w:rPr>
                <w:b/>
              </w:rPr>
            </w:pPr>
            <w:r>
              <w:rPr>
                <w:b/>
              </w:rPr>
              <w:t>Diámetros nominales (mm)</w:t>
            </w:r>
          </w:p>
        </w:tc>
        <w:tc>
          <w:tcPr>
            <w:tcW w:w="2466" w:type="dxa"/>
            <w:tcBorders>
              <w:top w:val="single" w:sz="4" w:space="0" w:color="auto"/>
              <w:left w:val="nil"/>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b/>
              </w:rPr>
            </w:pPr>
            <w:r>
              <w:rPr>
                <w:b/>
              </w:rPr>
              <w:t>Carga unitaria máxima f</w:t>
            </w:r>
            <w:r>
              <w:rPr>
                <w:b/>
                <w:vertAlign w:val="subscript"/>
              </w:rPr>
              <w:t>max</w:t>
            </w:r>
            <w:r>
              <w:rPr>
                <w:b/>
              </w:rPr>
              <w:t xml:space="preserve"> (N/mm</w:t>
            </w:r>
            <w:r>
              <w:rPr>
                <w:b/>
                <w:vertAlign w:val="superscript"/>
              </w:rPr>
              <w:t>2</w:t>
            </w:r>
            <w:r>
              <w:rPr>
                <w:b/>
              </w:rPr>
              <w:t>)</w:t>
            </w:r>
          </w:p>
        </w:tc>
      </w:tr>
      <w:tr w:rsidR="00C7085E" w:rsidTr="00C7085E">
        <w:trPr>
          <w:jc w:val="center"/>
        </w:trPr>
        <w:tc>
          <w:tcPr>
            <w:tcW w:w="2025" w:type="dxa"/>
            <w:tcBorders>
              <w:top w:val="single" w:sz="4" w:space="0" w:color="auto"/>
              <w:left w:val="single" w:sz="4" w:space="0" w:color="auto"/>
              <w:bottom w:val="single" w:sz="4" w:space="0" w:color="auto"/>
              <w:right w:val="nil"/>
            </w:tcBorders>
            <w:hideMark/>
          </w:tcPr>
          <w:p w:rsidR="00C7085E" w:rsidRDefault="00C7085E" w:rsidP="00B71B1A">
            <w:pPr>
              <w:keepNext/>
              <w:keepLines/>
              <w:spacing w:before="120" w:after="240" w:line="276" w:lineRule="auto"/>
              <w:ind w:right="-285"/>
              <w:jc w:val="center"/>
            </w:pPr>
            <w:r>
              <w:t>Y 1670 C</w:t>
            </w:r>
          </w:p>
        </w:tc>
        <w:tc>
          <w:tcPr>
            <w:tcW w:w="2161" w:type="dxa"/>
            <w:tcBorders>
              <w:top w:val="single" w:sz="4" w:space="0" w:color="auto"/>
              <w:left w:val="nil"/>
              <w:bottom w:val="single" w:sz="4" w:space="0" w:color="auto"/>
              <w:right w:val="nil"/>
            </w:tcBorders>
            <w:hideMark/>
          </w:tcPr>
          <w:p w:rsidR="00C7085E" w:rsidRDefault="00C7085E" w:rsidP="00B71B1A">
            <w:pPr>
              <w:keepNext/>
              <w:keepLines/>
              <w:spacing w:before="120" w:after="240" w:line="276" w:lineRule="auto"/>
              <w:ind w:right="-285"/>
              <w:jc w:val="center"/>
            </w:pPr>
            <w:r>
              <w:t>7</w:t>
            </w:r>
          </w:p>
        </w:tc>
        <w:tc>
          <w:tcPr>
            <w:tcW w:w="2466" w:type="dxa"/>
            <w:tcBorders>
              <w:top w:val="single" w:sz="4" w:space="0" w:color="auto"/>
              <w:left w:val="nil"/>
              <w:bottom w:val="single" w:sz="4" w:space="0" w:color="auto"/>
              <w:right w:val="single" w:sz="4" w:space="0" w:color="auto"/>
            </w:tcBorders>
            <w:hideMark/>
          </w:tcPr>
          <w:p w:rsidR="00C7085E" w:rsidRDefault="00C7085E" w:rsidP="00B71B1A">
            <w:pPr>
              <w:keepNext/>
              <w:keepLines/>
              <w:spacing w:before="120" w:after="240" w:line="276" w:lineRule="auto"/>
              <w:ind w:right="-285"/>
              <w:jc w:val="center"/>
            </w:pPr>
            <w:r>
              <w:t>1.670</w:t>
            </w:r>
          </w:p>
        </w:tc>
      </w:tr>
      <w:tr w:rsidR="00C7085E" w:rsidTr="00C7085E">
        <w:trPr>
          <w:jc w:val="center"/>
        </w:trPr>
        <w:tc>
          <w:tcPr>
            <w:tcW w:w="2025" w:type="dxa"/>
            <w:tcBorders>
              <w:top w:val="single" w:sz="4" w:space="0" w:color="auto"/>
              <w:left w:val="single" w:sz="4" w:space="0" w:color="auto"/>
              <w:bottom w:val="single" w:sz="4" w:space="0" w:color="auto"/>
              <w:right w:val="nil"/>
            </w:tcBorders>
            <w:hideMark/>
          </w:tcPr>
          <w:p w:rsidR="00C7085E" w:rsidRDefault="00C7085E" w:rsidP="00B71B1A">
            <w:pPr>
              <w:keepNext/>
              <w:keepLines/>
              <w:spacing w:before="120" w:after="240" w:line="276" w:lineRule="auto"/>
              <w:ind w:right="-285"/>
              <w:jc w:val="center"/>
            </w:pPr>
            <w:r>
              <w:t>Y 1770 C</w:t>
            </w:r>
          </w:p>
        </w:tc>
        <w:tc>
          <w:tcPr>
            <w:tcW w:w="2161" w:type="dxa"/>
            <w:tcBorders>
              <w:top w:val="single" w:sz="4" w:space="0" w:color="auto"/>
              <w:left w:val="nil"/>
              <w:bottom w:val="single" w:sz="4" w:space="0" w:color="auto"/>
              <w:right w:val="nil"/>
            </w:tcBorders>
            <w:hideMark/>
          </w:tcPr>
          <w:p w:rsidR="00C7085E" w:rsidRDefault="00C7085E" w:rsidP="00B71B1A">
            <w:pPr>
              <w:keepNext/>
              <w:keepLines/>
              <w:spacing w:before="120" w:after="240" w:line="276" w:lineRule="auto"/>
              <w:ind w:right="-285"/>
              <w:jc w:val="center"/>
            </w:pPr>
            <w:r>
              <w:t>5-6</w:t>
            </w:r>
          </w:p>
        </w:tc>
        <w:tc>
          <w:tcPr>
            <w:tcW w:w="2466" w:type="dxa"/>
            <w:tcBorders>
              <w:top w:val="single" w:sz="4" w:space="0" w:color="auto"/>
              <w:left w:val="nil"/>
              <w:bottom w:val="single" w:sz="4" w:space="0" w:color="auto"/>
              <w:right w:val="single" w:sz="4" w:space="0" w:color="auto"/>
            </w:tcBorders>
            <w:hideMark/>
          </w:tcPr>
          <w:p w:rsidR="00C7085E" w:rsidRDefault="00C7085E" w:rsidP="00B71B1A">
            <w:pPr>
              <w:keepNext/>
              <w:keepLines/>
              <w:spacing w:before="120" w:after="240" w:line="276" w:lineRule="auto"/>
              <w:ind w:right="-285"/>
              <w:jc w:val="center"/>
            </w:pPr>
            <w:r>
              <w:t>1.770</w:t>
            </w:r>
          </w:p>
        </w:tc>
      </w:tr>
      <w:tr w:rsidR="00C7085E" w:rsidTr="00C7085E">
        <w:trPr>
          <w:jc w:val="center"/>
        </w:trPr>
        <w:tc>
          <w:tcPr>
            <w:tcW w:w="2025" w:type="dxa"/>
            <w:tcBorders>
              <w:top w:val="single" w:sz="4" w:space="0" w:color="auto"/>
              <w:left w:val="single" w:sz="4" w:space="0" w:color="auto"/>
              <w:bottom w:val="single" w:sz="4" w:space="0" w:color="auto"/>
              <w:right w:val="nil"/>
            </w:tcBorders>
            <w:hideMark/>
          </w:tcPr>
          <w:p w:rsidR="00C7085E" w:rsidRDefault="00C7085E" w:rsidP="00B71B1A">
            <w:pPr>
              <w:keepNext/>
              <w:keepLines/>
              <w:spacing w:before="120" w:after="240" w:line="276" w:lineRule="auto"/>
              <w:ind w:right="-285"/>
              <w:jc w:val="center"/>
            </w:pPr>
            <w:r>
              <w:t>Y 1860 C</w:t>
            </w:r>
          </w:p>
        </w:tc>
        <w:tc>
          <w:tcPr>
            <w:tcW w:w="2161" w:type="dxa"/>
            <w:tcBorders>
              <w:top w:val="single" w:sz="4" w:space="0" w:color="auto"/>
              <w:left w:val="nil"/>
              <w:bottom w:val="single" w:sz="4" w:space="0" w:color="auto"/>
              <w:right w:val="nil"/>
            </w:tcBorders>
            <w:hideMark/>
          </w:tcPr>
          <w:p w:rsidR="00C7085E" w:rsidRDefault="00C7085E" w:rsidP="00B71B1A">
            <w:pPr>
              <w:keepNext/>
              <w:keepLines/>
              <w:spacing w:before="120" w:after="240" w:line="276" w:lineRule="auto"/>
              <w:ind w:right="-285"/>
              <w:jc w:val="center"/>
            </w:pPr>
            <w:r>
              <w:t>5</w:t>
            </w:r>
          </w:p>
        </w:tc>
        <w:tc>
          <w:tcPr>
            <w:tcW w:w="2466" w:type="dxa"/>
            <w:tcBorders>
              <w:top w:val="single" w:sz="4" w:space="0" w:color="auto"/>
              <w:left w:val="nil"/>
              <w:bottom w:val="single" w:sz="4" w:space="0" w:color="auto"/>
              <w:right w:val="single" w:sz="4" w:space="0" w:color="auto"/>
            </w:tcBorders>
            <w:hideMark/>
          </w:tcPr>
          <w:p w:rsidR="00C7085E" w:rsidRDefault="00C7085E" w:rsidP="00B71B1A">
            <w:pPr>
              <w:keepNext/>
              <w:keepLines/>
              <w:spacing w:before="120" w:after="240" w:line="276" w:lineRule="auto"/>
              <w:ind w:right="-285"/>
              <w:jc w:val="center"/>
            </w:pPr>
            <w:r>
              <w:t>1.860</w:t>
            </w:r>
          </w:p>
        </w:tc>
      </w:tr>
    </w:tbl>
    <w:p w:rsidR="00C7085E" w:rsidRDefault="00C7085E" w:rsidP="00B71B1A">
      <w:pPr>
        <w:pStyle w:val="Tabla"/>
        <w:spacing w:before="120" w:line="276" w:lineRule="auto"/>
        <w:ind w:right="-285"/>
      </w:pPr>
      <w:r>
        <w:t>Tipos de alambre de pretensado</w:t>
      </w:r>
    </w:p>
    <w:p w:rsidR="00C7085E" w:rsidRDefault="00C7085E" w:rsidP="00B71B1A">
      <w:pPr>
        <w:spacing w:before="120" w:after="240" w:line="276" w:lineRule="auto"/>
        <w:ind w:right="-285"/>
      </w:pPr>
      <w:r>
        <w:t>Todos los tubos deberán ir marcados, de forma fácilmente legible y durable, con las siguientes identificaciones como mínimo:</w:t>
      </w:r>
    </w:p>
    <w:p w:rsidR="00C7085E" w:rsidRDefault="00C7085E" w:rsidP="00B71B1A">
      <w:pPr>
        <w:widowControl/>
        <w:numPr>
          <w:ilvl w:val="0"/>
          <w:numId w:val="12"/>
        </w:numPr>
        <w:spacing w:before="120" w:after="240" w:line="276" w:lineRule="auto"/>
        <w:ind w:left="714" w:right="-285" w:hanging="357"/>
      </w:pPr>
      <w:r>
        <w:t>Fabricante y lugar de producción</w:t>
      </w:r>
    </w:p>
    <w:p w:rsidR="00C7085E" w:rsidRDefault="00C7085E" w:rsidP="00B71B1A">
      <w:pPr>
        <w:widowControl/>
        <w:numPr>
          <w:ilvl w:val="0"/>
          <w:numId w:val="12"/>
        </w:numPr>
        <w:spacing w:before="120" w:after="240" w:line="276" w:lineRule="auto"/>
        <w:ind w:left="714" w:right="-285" w:hanging="357"/>
      </w:pPr>
      <w:r>
        <w:t>Fecha de fabricación</w:t>
      </w:r>
    </w:p>
    <w:p w:rsidR="00C7085E" w:rsidRDefault="00C7085E" w:rsidP="00B71B1A">
      <w:pPr>
        <w:widowControl/>
        <w:numPr>
          <w:ilvl w:val="0"/>
          <w:numId w:val="12"/>
        </w:numPr>
        <w:spacing w:before="120" w:after="240" w:line="276" w:lineRule="auto"/>
        <w:ind w:left="714" w:right="-285" w:hanging="357"/>
      </w:pPr>
      <w:r>
        <w:t>Referencia a la norma EN 642</w:t>
      </w:r>
    </w:p>
    <w:p w:rsidR="00C7085E" w:rsidRDefault="00C7085E" w:rsidP="00B71B1A">
      <w:pPr>
        <w:widowControl/>
        <w:numPr>
          <w:ilvl w:val="0"/>
          <w:numId w:val="12"/>
        </w:numPr>
        <w:spacing w:before="120" w:after="240" w:line="276" w:lineRule="auto"/>
        <w:ind w:left="714" w:right="-285" w:hanging="357"/>
      </w:pPr>
      <w:r>
        <w:t>Una “P” para indicar que el tubo es apto para el transporte de agua para consumo humano.</w:t>
      </w:r>
    </w:p>
    <w:p w:rsidR="00C7085E" w:rsidRDefault="00C7085E" w:rsidP="00B71B1A">
      <w:pPr>
        <w:widowControl/>
        <w:numPr>
          <w:ilvl w:val="0"/>
          <w:numId w:val="12"/>
        </w:numPr>
        <w:spacing w:before="120" w:after="240" w:line="276" w:lineRule="auto"/>
        <w:ind w:left="714" w:right="-285" w:hanging="357"/>
      </w:pPr>
      <w:r>
        <w:t>Identificación de la certificación por tercera parte, si procede.</w:t>
      </w:r>
    </w:p>
    <w:p w:rsidR="00C7085E" w:rsidRDefault="00C7085E" w:rsidP="00B71B1A">
      <w:pPr>
        <w:widowControl/>
        <w:numPr>
          <w:ilvl w:val="0"/>
          <w:numId w:val="12"/>
        </w:numPr>
        <w:spacing w:before="120" w:after="240" w:line="276" w:lineRule="auto"/>
        <w:ind w:left="714" w:right="-285" w:hanging="357"/>
      </w:pPr>
      <w:r>
        <w:t>Diámetro DN</w:t>
      </w:r>
    </w:p>
    <w:p w:rsidR="00C7085E" w:rsidRDefault="00C7085E" w:rsidP="00B71B1A">
      <w:pPr>
        <w:widowControl/>
        <w:numPr>
          <w:ilvl w:val="0"/>
          <w:numId w:val="12"/>
        </w:numPr>
        <w:spacing w:before="120" w:after="240" w:line="276" w:lineRule="auto"/>
        <w:ind w:left="714" w:right="-285" w:hanging="357"/>
      </w:pPr>
      <w:r>
        <w:t>Identificación de un uso especial, cuando proceda.</w:t>
      </w:r>
    </w:p>
    <w:p w:rsidR="00C7085E" w:rsidRDefault="00C7085E" w:rsidP="00B71B1A">
      <w:pPr>
        <w:widowControl/>
        <w:numPr>
          <w:ilvl w:val="0"/>
          <w:numId w:val="12"/>
        </w:numPr>
        <w:spacing w:before="120" w:after="240" w:line="276" w:lineRule="auto"/>
        <w:ind w:left="714" w:right="-285" w:hanging="357"/>
      </w:pPr>
      <w:r>
        <w:t>En tubos biselados su desviación angular. El lado corto será igualmente identificado.</w:t>
      </w:r>
    </w:p>
    <w:p w:rsidR="00C7085E" w:rsidRDefault="00C7085E" w:rsidP="00B71B1A">
      <w:pPr>
        <w:widowControl/>
        <w:numPr>
          <w:ilvl w:val="0"/>
          <w:numId w:val="12"/>
        </w:numPr>
        <w:spacing w:before="120" w:after="240" w:line="276" w:lineRule="auto"/>
        <w:ind w:left="714" w:right="-285" w:hanging="357"/>
      </w:pPr>
      <w:r>
        <w:t>Si se usa armadura elíptica, el eje de la armadura será identificado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 xml:space="preserve">Los sistemas de unión de los tubos de hormigón pretensado con camisa de chapa podrán </w:t>
      </w:r>
      <w:r>
        <w:lastRenderedPageBreak/>
        <w:t>ser, o bien uniones rígidas (uniones soldadas), o bien uniones flexibles con anillo elastomérico, las cuales deberán ser conformes con lo especificado para las mismas en la UNE-EN 639.</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Para el control de calidad de la fabricación de los componentes de las tuberías de hormigón pretensado con camisa de chapa será de aplicación lo especificado en la norma UNE-EN 642.</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t>Las dimensiones normalizadas de los tubos de hormigón pretensado serán las indicadas en la norma UNE-EN 642.</w:t>
      </w:r>
    </w:p>
    <w:p w:rsidR="00C7085E" w:rsidRDefault="00C7085E" w:rsidP="00B71B1A">
      <w:pPr>
        <w:spacing w:before="120" w:after="240" w:line="276" w:lineRule="auto"/>
        <w:ind w:right="-285"/>
      </w:pPr>
      <w:r>
        <w:t>Aunque la longitud de los tubos (L) no está normalizada, en cualquier caso la tolerancia sobre el valor declarado por el fabricante debe ser de más o menos diez milímetros (+/-10 mm) y la relación L/DN no mayor de veintiuno (21), de acuerdo con la UNE-EN 639.</w:t>
      </w:r>
    </w:p>
    <w:p w:rsidR="00C7085E" w:rsidRDefault="00C7085E" w:rsidP="00B71B1A">
      <w:pPr>
        <w:spacing w:before="120" w:after="240" w:line="276" w:lineRule="auto"/>
        <w:ind w:right="-285"/>
      </w:pPr>
      <w:r>
        <w:t>Las desviaciones angulares admisibles para las uniones flexibles son las indicadas en la UNE-EN 639.</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tuberías de hormigón pretensado con camisa de chapa se medirán por metros (m) de conducción totalmente terminada y probada en obra.</w:t>
      </w:r>
    </w:p>
    <w:p w:rsidR="00C7085E" w:rsidRDefault="00C7085E" w:rsidP="00B71B1A">
      <w:pPr>
        <w:spacing w:before="120" w:after="240" w:line="276" w:lineRule="auto"/>
        <w:ind w:right="-285"/>
      </w:pPr>
      <w:r>
        <w:t>El precio al que se abonará cada tubería será el que corresponda a su diámetro y presión máxima de diseño según los precios que figuren en el Cuadro de Precios vigente de Canal de Isabel II Gestión.</w:t>
      </w:r>
    </w:p>
    <w:p w:rsidR="00C7085E" w:rsidRDefault="00C7085E" w:rsidP="00B71B1A">
      <w:pPr>
        <w:spacing w:before="120" w:after="240" w:line="276" w:lineRule="auto"/>
        <w:ind w:right="-285"/>
      </w:pPr>
      <w:r>
        <w:t>En los precios se consideran incluidas la armadura interior de camisa de chapa de al menos seis milímetros (6 mm) con su posible refuerzo, los alambres de pretensado de cualquier diámetro, la protección exterior de dos manos de pintura epoxi-brea de setenta y cinco micras (75</w:t>
      </w:r>
      <w:r>
        <w:rPr>
          <w:rFonts w:ascii="Symbol" w:hAnsi="Symbol"/>
        </w:rPr>
        <w:t></w:t>
      </w:r>
      <w:r>
        <w:rPr>
          <w:rFonts w:ascii="Times New Roman" w:hAnsi="Times New Roman"/>
        </w:rPr>
        <w:t>µ</w:t>
      </w:r>
      <w:r>
        <w:rPr>
          <w:rFonts w:cs="Arial"/>
        </w:rPr>
        <w:t>m</w:t>
      </w:r>
      <w:r>
        <w:t>) cada una, así como la parte proporcional de junta soldada reforzada con anillo armado, la colocación y las pruebas de recepción.</w:t>
      </w:r>
    </w:p>
    <w:p w:rsidR="00C7085E" w:rsidRDefault="00C7085E" w:rsidP="00B71B1A">
      <w:pPr>
        <w:pStyle w:val="Ttulo3"/>
        <w:widowControl/>
        <w:numPr>
          <w:ilvl w:val="2"/>
          <w:numId w:val="5"/>
        </w:numPr>
        <w:tabs>
          <w:tab w:val="left" w:pos="567"/>
        </w:tabs>
        <w:suppressAutoHyphens/>
        <w:snapToGrid w:val="0"/>
        <w:spacing w:before="120" w:after="240" w:line="276" w:lineRule="auto"/>
        <w:ind w:left="1701" w:right="-285" w:hanging="1701"/>
      </w:pPr>
      <w:bookmarkStart w:id="171" w:name="_Toc414021795"/>
      <w:bookmarkStart w:id="172" w:name="_Toc448741417"/>
      <w:r>
        <w:t>Otras secciones de hormigón armado clase 135</w:t>
      </w:r>
      <w:bookmarkEnd w:id="171"/>
      <w:bookmarkEnd w:id="172"/>
    </w:p>
    <w:p w:rsidR="00C7085E" w:rsidRDefault="00C7085E" w:rsidP="00B71B1A">
      <w:pPr>
        <w:keepNext/>
        <w:spacing w:before="120" w:after="240" w:line="276" w:lineRule="auto"/>
        <w:ind w:right="-285"/>
      </w:pPr>
      <w:r>
        <w:t>Las conducciones de hormigón de sección no circular objeto de este artículo sólo podrán emplearse en redes de saneamiento.</w:t>
      </w:r>
    </w:p>
    <w:p w:rsidR="00C7085E" w:rsidRDefault="00C7085E" w:rsidP="00B71B1A">
      <w:pPr>
        <w:spacing w:before="120" w:after="240" w:line="276" w:lineRule="auto"/>
        <w:ind w:right="-285"/>
      </w:pPr>
      <w:r>
        <w:t>Los colectores de sección ovoide deberán cumplir con lo especificado para los mismos, en las normas UNE-EN 1916 y UNE-EN 127916 y se clasificarán por su altura y anchura nominal (WN/HN) y por su clase de resistencia.</w:t>
      </w:r>
    </w:p>
    <w:p w:rsidR="00C7085E" w:rsidRDefault="00C7085E" w:rsidP="00B71B1A">
      <w:pPr>
        <w:spacing w:before="120" w:after="240" w:line="276" w:lineRule="auto"/>
        <w:ind w:right="-285"/>
      </w:pPr>
      <w:r>
        <w:t xml:space="preserve">Para los marcos prefabricados de hormigón se cumplirán lo especificado para los mismos en </w:t>
      </w:r>
      <w:r>
        <w:lastRenderedPageBreak/>
        <w:t xml:space="preserve">la norma UNE-EN 14844: </w:t>
      </w:r>
      <w:r>
        <w:rPr>
          <w:i/>
        </w:rPr>
        <w:t>“Productos prefabricados de hormigón. Marcos”</w:t>
      </w:r>
      <w:r>
        <w:t>.</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En el caso de los colectores de sección ovoide, los materiales a emplear en su fabricación (cemento, agua, áridos, aditivos, adiciones y acero para armaduras) deberán cumplir con las especificaciones que figuran en la Instrucción de Hormigón Estructural (EHE). En particular, el hormigón y acero utilizado para las armaduras cumplirán con lo especificado en la misma para la clase general de exposición IIa y clase específica de exposición Qb. Cuando los cementos vayan a utilizarse en presencia de sulfatos, deberán poseer la característica adicional de resistencia a los sulfatos (SR), siempre que el contenido en sulfatos, expresado como SO</w:t>
      </w:r>
      <w:r>
        <w:rPr>
          <w:vertAlign w:val="subscript"/>
        </w:rPr>
        <w:t>4</w:t>
      </w:r>
      <w:r>
        <w:t>, sea igual o mayor que 600 mg/l en el caso de aguas o 3.000 mg/l en el caso de suelos, tal y como se indica en la Instrucción para la Recepción de Cementos (RC-08)</w:t>
      </w:r>
    </w:p>
    <w:p w:rsidR="00C7085E" w:rsidRDefault="00C7085E" w:rsidP="00B71B1A">
      <w:pPr>
        <w:keepNext/>
        <w:keepLines/>
        <w:spacing w:before="120" w:after="240" w:line="276" w:lineRule="auto"/>
        <w:ind w:right="-285"/>
      </w:pPr>
      <w:r>
        <w:t>Las secciones y espesores de los tubos de sección ovoide están normalizadas en la norma UNE-EN 127916.</w:t>
      </w:r>
      <w:r>
        <w:rPr>
          <w:i/>
        </w:rPr>
        <w:t xml:space="preserve"> </w:t>
      </w:r>
      <w:r>
        <w:t xml:space="preserve">Las dimensiones a utilizar serán: </w:t>
      </w:r>
    </w:p>
    <w:tbl>
      <w:tblPr>
        <w:tblStyle w:val="Tablaconcuadrcula"/>
        <w:tblW w:w="0" w:type="auto"/>
        <w:jc w:val="center"/>
        <w:tblLook w:val="04A0" w:firstRow="1" w:lastRow="0" w:firstColumn="1" w:lastColumn="0" w:noHBand="0" w:noVBand="1"/>
      </w:tblPr>
      <w:tblGrid>
        <w:gridCol w:w="2835"/>
        <w:gridCol w:w="2835"/>
      </w:tblGrid>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ANCHO (mm)</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ALTO (mm)</w:t>
            </w:r>
          </w:p>
        </w:tc>
      </w:tr>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600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900</w:t>
            </w:r>
          </w:p>
        </w:tc>
      </w:tr>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700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1.050</w:t>
            </w:r>
          </w:p>
        </w:tc>
      </w:tr>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800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1.200</w:t>
            </w:r>
          </w:p>
        </w:tc>
      </w:tr>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900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1.350</w:t>
            </w:r>
          </w:p>
        </w:tc>
      </w:tr>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1.000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1.500</w:t>
            </w:r>
          </w:p>
        </w:tc>
      </w:tr>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1.200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1.800</w:t>
            </w:r>
          </w:p>
        </w:tc>
      </w:tr>
      <w:tr w:rsidR="00C7085E" w:rsidTr="00C7085E">
        <w:trPr>
          <w:jc w:val="center"/>
        </w:trPr>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1.400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2.100</w:t>
            </w:r>
          </w:p>
        </w:tc>
      </w:tr>
    </w:tbl>
    <w:p w:rsidR="00C7085E" w:rsidRDefault="00C7085E" w:rsidP="00B71B1A">
      <w:pPr>
        <w:pStyle w:val="Tabla"/>
        <w:keepNext/>
        <w:keepLines/>
        <w:spacing w:before="120" w:line="276" w:lineRule="auto"/>
        <w:ind w:right="-285"/>
      </w:pPr>
      <w:r>
        <w:t>Dimensiones de los ovoides empleados</w:t>
      </w:r>
    </w:p>
    <w:p w:rsidR="00C7085E" w:rsidRDefault="00C7085E" w:rsidP="00B71B1A">
      <w:pPr>
        <w:spacing w:before="120" w:after="240" w:line="276" w:lineRule="auto"/>
        <w:ind w:right="-285"/>
      </w:pPr>
      <w:r>
        <w:t>Únicamente se admitirá el uso de ovoides de hormigón armado y de resistencia mínima a la rotura igual a ciento treinta y cinco kilo newton por metro cuadrado (135 kN/m</w:t>
      </w:r>
      <w:r>
        <w:rPr>
          <w:vertAlign w:val="superscript"/>
        </w:rPr>
        <w:t>2</w:t>
      </w:r>
      <w:r>
        <w:t>)</w:t>
      </w:r>
    </w:p>
    <w:p w:rsidR="002B7B4D" w:rsidRDefault="00C7085E" w:rsidP="00B71B1A">
      <w:pPr>
        <w:spacing w:before="120" w:after="240" w:line="276" w:lineRule="auto"/>
        <w:ind w:right="-285"/>
      </w:pPr>
      <w:r>
        <w:t>Los tubos, una vez fabricados deberán resistir las cargas de fisuración y de rotura, según dimensiones y clase, especificadas en la norma UNE-EN 1916.</w:t>
      </w:r>
    </w:p>
    <w:p w:rsidR="002B7B4D" w:rsidRDefault="002B7B4D" w:rsidP="00B71B1A">
      <w:pPr>
        <w:widowControl/>
        <w:autoSpaceDE/>
        <w:autoSpaceDN/>
        <w:adjustRightInd/>
        <w:spacing w:line="276" w:lineRule="auto"/>
        <w:ind w:right="-285"/>
        <w:jc w:val="left"/>
      </w:pPr>
      <w:r>
        <w:br w:type="page"/>
      </w:r>
    </w:p>
    <w:tbl>
      <w:tblPr>
        <w:tblStyle w:val="Tablaconcuadrcula"/>
        <w:tblW w:w="0" w:type="auto"/>
        <w:jc w:val="center"/>
        <w:tblLook w:val="04A0" w:firstRow="1" w:lastRow="0" w:firstColumn="1" w:lastColumn="0" w:noHBand="0" w:noVBand="1"/>
      </w:tblPr>
      <w:tblGrid>
        <w:gridCol w:w="1625"/>
        <w:gridCol w:w="1919"/>
        <w:gridCol w:w="1971"/>
      </w:tblGrid>
      <w:tr w:rsidR="00C7085E" w:rsidTr="002B7B4D">
        <w:trPr>
          <w:cantSplit/>
          <w:tblHeader/>
          <w:jc w:val="center"/>
        </w:trPr>
        <w:tc>
          <w:tcPr>
            <w:tcW w:w="162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120" w:line="276" w:lineRule="auto"/>
              <w:ind w:right="-285"/>
              <w:jc w:val="center"/>
              <w:rPr>
                <w:b/>
              </w:rPr>
            </w:pPr>
            <w:r>
              <w:rPr>
                <w:b/>
              </w:rPr>
              <w:lastRenderedPageBreak/>
              <w:t>TIPO DE TUBO</w:t>
            </w:r>
          </w:p>
        </w:tc>
        <w:tc>
          <w:tcPr>
            <w:tcW w:w="38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120" w:line="276" w:lineRule="auto"/>
              <w:ind w:right="-285"/>
              <w:jc w:val="center"/>
              <w:rPr>
                <w:b/>
              </w:rPr>
            </w:pPr>
            <w:r>
              <w:rPr>
                <w:b/>
              </w:rPr>
              <w:t>CLASE 135</w:t>
            </w:r>
          </w:p>
        </w:tc>
      </w:tr>
      <w:tr w:rsidR="00C7085E" w:rsidTr="002B7B4D">
        <w:trPr>
          <w:cantSplit/>
          <w:tblHeade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b/>
                <w:lang w:val="es-ES_tradnl" w:eastAsia="es-ES_tradnl"/>
              </w:rPr>
            </w:pP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120" w:line="276" w:lineRule="auto"/>
              <w:ind w:right="-285"/>
              <w:jc w:val="center"/>
              <w:rPr>
                <w:b/>
              </w:rPr>
            </w:pPr>
            <w:r>
              <w:rPr>
                <w:b/>
              </w:rPr>
              <w:t>Carga de fisuración (kN/m)</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120" w:line="276" w:lineRule="auto"/>
              <w:ind w:right="-285"/>
              <w:jc w:val="center"/>
              <w:rPr>
                <w:b/>
              </w:rPr>
            </w:pPr>
            <w:r>
              <w:rPr>
                <w:b/>
              </w:rPr>
              <w:t>Carga de rotura (kN/m)</w:t>
            </w:r>
          </w:p>
        </w:tc>
      </w:tr>
      <w:tr w:rsidR="00C7085E" w:rsidTr="002B7B4D">
        <w:trPr>
          <w:cantSplit/>
          <w:tblHeader/>
          <w:jc w:val="center"/>
        </w:trPr>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600/900</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54</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81,00</w:t>
            </w:r>
          </w:p>
        </w:tc>
      </w:tr>
      <w:tr w:rsidR="00C7085E" w:rsidTr="002B7B4D">
        <w:trPr>
          <w:cantSplit/>
          <w:tblHeader/>
          <w:jc w:val="center"/>
        </w:trPr>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700/1050</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63</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94,50</w:t>
            </w:r>
          </w:p>
        </w:tc>
      </w:tr>
      <w:tr w:rsidR="00C7085E" w:rsidTr="002B7B4D">
        <w:trPr>
          <w:cantSplit/>
          <w:tblHeader/>
          <w:jc w:val="center"/>
        </w:trPr>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800/1200</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72</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108,00</w:t>
            </w:r>
          </w:p>
        </w:tc>
      </w:tr>
      <w:tr w:rsidR="00C7085E" w:rsidTr="002B7B4D">
        <w:trPr>
          <w:cantSplit/>
          <w:tblHeader/>
          <w:jc w:val="center"/>
        </w:trPr>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900/1350</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81</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121,50</w:t>
            </w:r>
          </w:p>
        </w:tc>
      </w:tr>
      <w:tr w:rsidR="00C7085E" w:rsidTr="002B7B4D">
        <w:trPr>
          <w:cantSplit/>
          <w:tblHeader/>
          <w:jc w:val="center"/>
        </w:trPr>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1000/1500</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90</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pPr>
            <w:r>
              <w:t>135,00</w:t>
            </w:r>
          </w:p>
        </w:tc>
      </w:tr>
      <w:tr w:rsidR="00C7085E" w:rsidTr="002B7B4D">
        <w:trPr>
          <w:cantSplit/>
          <w:tblHeader/>
          <w:jc w:val="center"/>
        </w:trPr>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1200/1800</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108</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pPr>
            <w:r>
              <w:t>162,00</w:t>
            </w:r>
          </w:p>
        </w:tc>
      </w:tr>
      <w:tr w:rsidR="00C7085E" w:rsidTr="002B7B4D">
        <w:trPr>
          <w:cantSplit/>
          <w:tblHeader/>
          <w:jc w:val="center"/>
        </w:trPr>
        <w:tc>
          <w:tcPr>
            <w:tcW w:w="1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1400/2100</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pPr>
            <w:r>
              <w:t>126</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pPr>
            <w:r>
              <w:t>189,00</w:t>
            </w:r>
          </w:p>
        </w:tc>
      </w:tr>
    </w:tbl>
    <w:p w:rsidR="00C7085E" w:rsidRDefault="00C7085E" w:rsidP="00B71B1A">
      <w:pPr>
        <w:pStyle w:val="Tabla"/>
        <w:spacing w:before="120" w:line="276" w:lineRule="auto"/>
        <w:ind w:right="-285"/>
      </w:pPr>
      <w:r>
        <w:t>Carga de fisuración y de rotura en ovoides C-135</w:t>
      </w:r>
    </w:p>
    <w:p w:rsidR="00C7085E" w:rsidRDefault="00C7085E" w:rsidP="00B71B1A">
      <w:pPr>
        <w:tabs>
          <w:tab w:val="left" w:pos="2428"/>
        </w:tabs>
        <w:spacing w:before="120" w:after="240" w:line="276" w:lineRule="auto"/>
        <w:ind w:right="-285"/>
      </w:pPr>
      <w:r>
        <w:t>Los colectores de sección ovoide deberán ir marcados, de forma fácilmente legible y durable, con las siguientes identificaciones como mínimo:</w:t>
      </w:r>
    </w:p>
    <w:p w:rsidR="00C7085E" w:rsidRDefault="00C7085E" w:rsidP="00B71B1A">
      <w:pPr>
        <w:widowControl/>
        <w:numPr>
          <w:ilvl w:val="0"/>
          <w:numId w:val="12"/>
        </w:numPr>
        <w:spacing w:before="120" w:after="240" w:line="276" w:lineRule="auto"/>
        <w:ind w:left="714" w:right="-285" w:hanging="357"/>
      </w:pPr>
      <w:r>
        <w:t>Nombre o marca del fabricante</w:t>
      </w:r>
    </w:p>
    <w:p w:rsidR="00C7085E" w:rsidRDefault="00C7085E" w:rsidP="00B71B1A">
      <w:pPr>
        <w:widowControl/>
        <w:numPr>
          <w:ilvl w:val="0"/>
          <w:numId w:val="12"/>
        </w:numPr>
        <w:spacing w:before="120" w:after="240" w:line="276" w:lineRule="auto"/>
        <w:ind w:left="714" w:right="-285" w:hanging="357"/>
      </w:pPr>
      <w:r>
        <w:t>Marcado THA, indicativo de que se trata de un elemento de hormigón armado</w:t>
      </w:r>
    </w:p>
    <w:p w:rsidR="00C7085E" w:rsidRDefault="00C7085E" w:rsidP="00B71B1A">
      <w:pPr>
        <w:widowControl/>
        <w:numPr>
          <w:ilvl w:val="0"/>
          <w:numId w:val="12"/>
        </w:numPr>
        <w:spacing w:before="120" w:after="240" w:line="276" w:lineRule="auto"/>
        <w:ind w:left="714" w:right="-285" w:hanging="357"/>
      </w:pPr>
      <w:r>
        <w:t>Fecha de fabricación</w:t>
      </w:r>
    </w:p>
    <w:p w:rsidR="00C7085E" w:rsidRDefault="00C7085E" w:rsidP="00B71B1A">
      <w:pPr>
        <w:widowControl/>
        <w:numPr>
          <w:ilvl w:val="0"/>
          <w:numId w:val="12"/>
        </w:numPr>
        <w:spacing w:before="120" w:after="240" w:line="276" w:lineRule="auto"/>
        <w:ind w:left="714" w:right="-285" w:hanging="357"/>
      </w:pPr>
      <w:r>
        <w:t>Dimensión nominal DN</w:t>
      </w:r>
    </w:p>
    <w:p w:rsidR="00C7085E" w:rsidRDefault="00C7085E" w:rsidP="00B71B1A">
      <w:pPr>
        <w:widowControl/>
        <w:numPr>
          <w:ilvl w:val="0"/>
          <w:numId w:val="12"/>
        </w:numPr>
        <w:spacing w:before="120" w:after="240" w:line="276" w:lineRule="auto"/>
        <w:ind w:left="714" w:right="-285" w:hanging="357"/>
      </w:pPr>
      <w:r>
        <w:t>Clase resistente de la conducción</w:t>
      </w:r>
    </w:p>
    <w:p w:rsidR="00C7085E" w:rsidRDefault="00C7085E" w:rsidP="00B71B1A">
      <w:pPr>
        <w:widowControl/>
        <w:numPr>
          <w:ilvl w:val="0"/>
          <w:numId w:val="12"/>
        </w:numPr>
        <w:spacing w:before="120" w:after="240" w:line="276" w:lineRule="auto"/>
        <w:ind w:left="714" w:right="-285" w:hanging="357"/>
      </w:pPr>
      <w:r>
        <w:t>Referencia a la norma EN 1916</w:t>
      </w:r>
    </w:p>
    <w:p w:rsidR="00C7085E" w:rsidRDefault="00C7085E" w:rsidP="00B71B1A">
      <w:pPr>
        <w:widowControl/>
        <w:numPr>
          <w:ilvl w:val="0"/>
          <w:numId w:val="12"/>
        </w:numPr>
        <w:spacing w:before="120" w:after="240" w:line="276" w:lineRule="auto"/>
        <w:ind w:left="714" w:right="-285" w:hanging="357"/>
      </w:pPr>
      <w:r>
        <w:t>Marca de Calidad, en su caso</w:t>
      </w:r>
    </w:p>
    <w:p w:rsidR="00C7085E" w:rsidRDefault="00C7085E" w:rsidP="00B71B1A">
      <w:pPr>
        <w:widowControl/>
        <w:numPr>
          <w:ilvl w:val="0"/>
          <w:numId w:val="12"/>
        </w:numPr>
        <w:spacing w:before="120" w:after="240" w:line="276" w:lineRule="auto"/>
        <w:ind w:left="714" w:right="-285" w:hanging="357"/>
      </w:pPr>
      <w:r>
        <w:t>Marcado CE</w:t>
      </w:r>
    </w:p>
    <w:p w:rsidR="00C7085E" w:rsidRDefault="00C7085E" w:rsidP="00B71B1A">
      <w:pPr>
        <w:widowControl/>
        <w:numPr>
          <w:ilvl w:val="0"/>
          <w:numId w:val="12"/>
        </w:numPr>
        <w:spacing w:before="120" w:after="240" w:line="276" w:lineRule="auto"/>
        <w:ind w:left="714" w:right="-285" w:hanging="357"/>
      </w:pPr>
      <w:r>
        <w:t>Tipo de cemento, si este tuviera alguna característica especial</w:t>
      </w:r>
    </w:p>
    <w:p w:rsidR="00C7085E" w:rsidRDefault="00C7085E" w:rsidP="00B71B1A">
      <w:pPr>
        <w:spacing w:before="120" w:after="240" w:line="276" w:lineRule="auto"/>
        <w:ind w:right="-285"/>
      </w:pPr>
      <w:r>
        <w:t>En el caso de los marcos prefabricados de hormigón, los materiales utilizados en su fabricación cumplirán lo especificado para los mismos en la UNE-EN 14844, sin perjuicio de lo establecido en la vigente Instrucción de Hormigón Estructural (EHE).</w:t>
      </w:r>
    </w:p>
    <w:p w:rsidR="00C7085E" w:rsidRDefault="00C7085E" w:rsidP="00B71B1A">
      <w:pPr>
        <w:spacing w:before="120" w:after="240" w:line="276" w:lineRule="auto"/>
        <w:ind w:right="-285"/>
      </w:pPr>
      <w:r>
        <w:lastRenderedPageBreak/>
        <w:t>Los marcos se designarán mediante sus dimensiones principales: W x H x L, siendo W la anchura interna, H la altura interna y L la longitud del elemento.</w:t>
      </w:r>
    </w:p>
    <w:p w:rsidR="00C7085E" w:rsidRDefault="00C7085E" w:rsidP="00B71B1A">
      <w:pPr>
        <w:spacing w:before="120" w:after="240" w:line="276" w:lineRule="auto"/>
        <w:ind w:right="-285"/>
      </w:pPr>
      <w:r>
        <w:t>El espesor nominal de las losas superior e inferior y de las paredes laterales será como mínimo de cien milímetros (100 mm).</w:t>
      </w:r>
    </w:p>
    <w:p w:rsidR="00C7085E" w:rsidRDefault="00C7085E" w:rsidP="00B71B1A">
      <w:pPr>
        <w:spacing w:before="120" w:after="240" w:line="276" w:lineRule="auto"/>
        <w:ind w:right="-285"/>
        <w:rPr>
          <w:i/>
        </w:rPr>
      </w:pPr>
      <w:r>
        <w:t xml:space="preserve">Para el marcado de los marcos se seguirá el capítulo 7 de la norma UNE-EN 13369: </w:t>
      </w:r>
      <w:r>
        <w:rPr>
          <w:i/>
        </w:rPr>
        <w:t>“Reglas comunes para productos prefabricados de hormigón”.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El sistema de unión de los tubos de sección no circular es mediante enchufe machihembrado, de unión elástica o rígida en función de los materiales de relleno y sellado que se empleen.</w:t>
      </w:r>
    </w:p>
    <w:p w:rsidR="00C7085E" w:rsidRDefault="00C7085E" w:rsidP="00B71B1A">
      <w:pPr>
        <w:spacing w:before="120" w:after="240" w:line="276" w:lineRule="auto"/>
        <w:ind w:right="-285"/>
      </w:pPr>
      <w:r>
        <w:t>En los marcos prefabricados de hormigón, los tipos de junta son: machihembrada, de espiga y a tope.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colectores de sección ovoide se medirán por metros (m) de conducción totalmente terminada y probada en obra y se abonarán, en función del tipo de hormigón empleado en su fabricación y de las dimensiones del tubo, mediante la aplicación del precio correspondiente de los que figuren en el Cuadro de Precios vigente de Canal de Isabel II Gestión.</w:t>
      </w:r>
    </w:p>
    <w:p w:rsidR="00C7085E" w:rsidRDefault="00C7085E" w:rsidP="00B71B1A">
      <w:pPr>
        <w:spacing w:before="120" w:after="240" w:line="276" w:lineRule="auto"/>
        <w:ind w:right="-285"/>
      </w:pPr>
      <w:r>
        <w:t>En los precios está incluido el sellado de juntas interiores y exteriores con el tipo de mortero especificado en cada caso en la descripción de la unidad de obra.</w:t>
      </w:r>
    </w:p>
    <w:p w:rsidR="00C7085E" w:rsidRDefault="00C7085E" w:rsidP="00B71B1A">
      <w:pPr>
        <w:spacing w:before="120" w:after="240" w:line="276" w:lineRule="auto"/>
        <w:ind w:right="-285"/>
      </w:pPr>
      <w:r>
        <w:t>Los marcos prefabricados de hormigón se medirán por metros (m) de elemento totalmente terminado y probado en obra y se abonarán, al precio que corresponda en función de sus dimensiones y del tipo de hormigón utilizado en su fabricación, de los comprendidos en el Cuadro de Precios vigente de Canal de Isabel II Gestión.</w:t>
      </w:r>
    </w:p>
    <w:p w:rsidR="00C7085E" w:rsidRDefault="00C7085E" w:rsidP="00B71B1A">
      <w:pPr>
        <w:spacing w:before="120" w:after="240" w:line="276" w:lineRule="auto"/>
        <w:ind w:right="-285"/>
      </w:pPr>
      <w:r>
        <w:t>En los precios está incluido el sellado de juntas interiores y exteriores con el tipo de mortero especificado en cada caso en la descripción de la unidad de obra.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73" w:name="_Toc414021796"/>
      <w:bookmarkStart w:id="174" w:name="_Toc448741418"/>
      <w:r>
        <w:t>Tuberías de polietileno (PE)</w:t>
      </w:r>
      <w:bookmarkEnd w:id="173"/>
      <w:bookmarkEnd w:id="174"/>
      <w:r>
        <w:t xml:space="preserve"> </w:t>
      </w:r>
    </w:p>
    <w:p w:rsidR="00C7085E" w:rsidRDefault="00C7085E" w:rsidP="00B71B1A">
      <w:pPr>
        <w:spacing w:before="120" w:after="240" w:line="276" w:lineRule="auto"/>
        <w:ind w:right="-285"/>
      </w:pPr>
      <w:r>
        <w:t>Este artículo es de aplicación para todas las tuberías de polietileno que se utilicen en las redes de abastecimiento, saneamiento, redes de reutilización y acometidas que gestiona Canal de Isabel II Gestión.</w:t>
      </w:r>
    </w:p>
    <w:p w:rsidR="00C7085E" w:rsidRDefault="00C7085E" w:rsidP="00B71B1A">
      <w:pPr>
        <w:spacing w:before="120" w:after="240" w:line="276" w:lineRule="auto"/>
        <w:ind w:right="-285"/>
        <w:rPr>
          <w:rFonts w:cs="Arial"/>
          <w:bCs/>
          <w:i/>
          <w:color w:val="000000"/>
          <w:szCs w:val="22"/>
        </w:rPr>
      </w:pPr>
      <w:r>
        <w:t xml:space="preserve">Los tubos de polietileno deberán cumplir con lo especificado para los </w:t>
      </w:r>
      <w:r>
        <w:rPr>
          <w:rFonts w:cs="Arial"/>
          <w:szCs w:val="22"/>
        </w:rPr>
        <w:t>mismos en la norma UNE-EN 12201: “</w:t>
      </w:r>
      <w:r>
        <w:rPr>
          <w:rFonts w:cs="Arial"/>
          <w:bCs/>
          <w:i/>
          <w:color w:val="000000"/>
          <w:szCs w:val="22"/>
        </w:rPr>
        <w:t>Sistemas de canalización en materiales plásticos para conducción de agua y saneamiento con presión. Polietileno (PE). Parte 1: Generalidades y Parte 2: Tubos”.</w:t>
      </w:r>
    </w:p>
    <w:p w:rsidR="00C7085E" w:rsidRDefault="00C7085E" w:rsidP="00B71B1A">
      <w:pPr>
        <w:spacing w:before="120" w:after="240" w:line="276" w:lineRule="auto"/>
        <w:ind w:right="-285"/>
      </w:pPr>
      <w:r>
        <w:t xml:space="preserve">Las tuberías de polietileno podrán usarse en conducciones de diámetros igual o superior a 25 mm, hasta los 400 mm. La serie de diámetros normalizados a utilizar será: </w:t>
      </w:r>
    </w:p>
    <w:p w:rsidR="00C7085E" w:rsidRDefault="00C7085E" w:rsidP="00B71B1A">
      <w:pPr>
        <w:spacing w:before="120" w:after="240" w:line="276" w:lineRule="auto"/>
        <w:ind w:right="-285"/>
        <w:jc w:val="center"/>
      </w:pPr>
      <w:r>
        <w:lastRenderedPageBreak/>
        <w:t>25, 40, 50, 63, 75, 90, 110, 125, 140, 160, 180, 200, 225, 250, 280, 315, 355 y 400</w:t>
      </w:r>
    </w:p>
    <w:p w:rsidR="00C7085E" w:rsidRDefault="00C7085E" w:rsidP="00B71B1A">
      <w:pPr>
        <w:tabs>
          <w:tab w:val="left" w:pos="1373"/>
        </w:tabs>
        <w:spacing w:before="120" w:after="240" w:line="276" w:lineRule="auto"/>
        <w:ind w:right="-285"/>
      </w:pPr>
      <w:r>
        <w:t>Se clasificarán por su diámetro nominal (DN), refiriéndose éste al diámetro exterior (OD), por su presión nominal (PN) y por la Resistencia Mínima Requerida (MRS) del material.</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tabs>
          <w:tab w:val="left" w:pos="1373"/>
        </w:tabs>
        <w:spacing w:before="120" w:after="240" w:line="276" w:lineRule="auto"/>
        <w:ind w:right="-285"/>
      </w:pPr>
      <w:r>
        <w:t>Los materiales empleados en la fabricación de los tubos de polietileno deberán cumplir las especificaciones que figuran en la norma UNE-EN 12201, en sus partes 1 y 2.</w:t>
      </w:r>
    </w:p>
    <w:p w:rsidR="00C7085E" w:rsidRDefault="00C7085E" w:rsidP="00B71B1A">
      <w:pPr>
        <w:tabs>
          <w:tab w:val="left" w:pos="1373"/>
        </w:tabs>
        <w:spacing w:before="120" w:after="240" w:line="276" w:lineRule="auto"/>
        <w:ind w:right="-285"/>
      </w:pPr>
      <w:r>
        <w:t>Los tubos deberán cumplir, además, con las siguientes características mecánicas de forma específica:</w:t>
      </w:r>
    </w:p>
    <w:p w:rsidR="00C7085E" w:rsidRDefault="00C7085E" w:rsidP="00B71B1A">
      <w:pPr>
        <w:widowControl/>
        <w:numPr>
          <w:ilvl w:val="0"/>
          <w:numId w:val="12"/>
        </w:numPr>
        <w:suppressAutoHyphens/>
        <w:spacing w:before="120" w:after="240" w:line="276" w:lineRule="auto"/>
        <w:ind w:left="714" w:right="-285" w:hanging="357"/>
      </w:pPr>
      <w:r>
        <w:t>Únicamente se podrán emplear tubos de polietileno PE-100, presión nominal 1,6 MPa (PN 16) y MRS 10 N/mm</w:t>
      </w:r>
      <w:r>
        <w:rPr>
          <w:vertAlign w:val="superscript"/>
        </w:rPr>
        <w:t>2</w:t>
      </w:r>
      <w:r>
        <w:t xml:space="preserve"> (PE 100), y por lo tanto, SDR = 11 y S= 5.</w:t>
      </w:r>
    </w:p>
    <w:p w:rsidR="00C7085E" w:rsidRDefault="00C7085E" w:rsidP="00B71B1A">
      <w:pPr>
        <w:widowControl/>
        <w:numPr>
          <w:ilvl w:val="0"/>
          <w:numId w:val="12"/>
        </w:numPr>
        <w:suppressAutoHyphens/>
        <w:spacing w:before="120" w:after="240" w:line="276" w:lineRule="auto"/>
        <w:ind w:right="-285"/>
      </w:pPr>
      <w:r>
        <w:t>El coeficiente de seguridad C adoptado será de 1,25.</w:t>
      </w:r>
    </w:p>
    <w:p w:rsidR="00C7085E" w:rsidRDefault="00C7085E" w:rsidP="00B71B1A">
      <w:pPr>
        <w:widowControl/>
        <w:numPr>
          <w:ilvl w:val="0"/>
          <w:numId w:val="12"/>
        </w:numPr>
        <w:suppressAutoHyphens/>
        <w:spacing w:before="120" w:after="240" w:line="276" w:lineRule="auto"/>
        <w:ind w:left="714" w:right="-285" w:hanging="357"/>
      </w:pPr>
      <w:r>
        <w:t>La tensión de diseño (</w:t>
      </w:r>
      <w:r>
        <w:rPr>
          <w:rFonts w:cs="Arial"/>
        </w:rPr>
        <w:t>σ</w:t>
      </w:r>
      <w:r>
        <w:rPr>
          <w:vertAlign w:val="subscript"/>
        </w:rPr>
        <w:t>s</w:t>
      </w:r>
      <w:r>
        <w:t>) tendrá un valor de 8 N/mm</w:t>
      </w:r>
      <w:r>
        <w:rPr>
          <w:vertAlign w:val="superscript"/>
        </w:rPr>
        <w:t>2</w:t>
      </w:r>
      <w:r>
        <w:t>.</w:t>
      </w:r>
    </w:p>
    <w:p w:rsidR="00C7085E" w:rsidRDefault="00C7085E" w:rsidP="00B71B1A">
      <w:pPr>
        <w:widowControl/>
        <w:numPr>
          <w:ilvl w:val="0"/>
          <w:numId w:val="12"/>
        </w:numPr>
        <w:suppressAutoHyphens/>
        <w:spacing w:before="120" w:after="240" w:line="276" w:lineRule="auto"/>
        <w:ind w:left="714" w:right="-285" w:hanging="357"/>
      </w:pPr>
      <w:r>
        <w:t>El valor de la presión de funcionamiento admisible (PFA) de los tubos para una temperatura de 20º, será de 1,6 N/mm</w:t>
      </w:r>
      <w:r>
        <w:rPr>
          <w:vertAlign w:val="superscript"/>
        </w:rPr>
        <w:t>2</w:t>
      </w:r>
      <w:r>
        <w:t>.</w:t>
      </w:r>
    </w:p>
    <w:p w:rsidR="00C7085E" w:rsidRDefault="00C7085E" w:rsidP="00B71B1A">
      <w:pPr>
        <w:widowControl/>
        <w:numPr>
          <w:ilvl w:val="0"/>
          <w:numId w:val="12"/>
        </w:numPr>
        <w:suppressAutoHyphens/>
        <w:spacing w:before="120" w:after="240" w:line="276" w:lineRule="auto"/>
        <w:ind w:left="714" w:right="-285" w:hanging="357"/>
      </w:pPr>
      <w:r>
        <w:t>El módulo de elasticidad del material a corto plazo, E</w:t>
      </w:r>
      <w:r>
        <w:rPr>
          <w:vertAlign w:val="subscript"/>
        </w:rPr>
        <w:t>o</w:t>
      </w:r>
      <w:r>
        <w:t>, será como mínimo, de 1.000 N/mm</w:t>
      </w:r>
      <w:r>
        <w:rPr>
          <w:vertAlign w:val="superscript"/>
        </w:rPr>
        <w:t>2</w:t>
      </w:r>
      <w:r>
        <w:t xml:space="preserve"> y a largo plazo E</w:t>
      </w:r>
      <w:r>
        <w:rPr>
          <w:vertAlign w:val="subscript"/>
        </w:rPr>
        <w:t>50</w:t>
      </w:r>
      <w:r>
        <w:t xml:space="preserve"> de 160 N/mm</w:t>
      </w:r>
      <w:r>
        <w:rPr>
          <w:vertAlign w:val="superscript"/>
        </w:rPr>
        <w:t>2</w:t>
      </w:r>
      <w:r>
        <w:t>. La resistencia mínima a flexotracción a corto o a largo plazo será, respectivamente 30 ó 14,40 N/mm</w:t>
      </w:r>
      <w:r>
        <w:rPr>
          <w:vertAlign w:val="superscript"/>
        </w:rPr>
        <w:t>2</w:t>
      </w:r>
      <w:r>
        <w:t>.</w:t>
      </w:r>
    </w:p>
    <w:p w:rsidR="00C7085E" w:rsidRDefault="00C7085E" w:rsidP="00B71B1A">
      <w:pPr>
        <w:spacing w:before="120" w:after="240" w:line="276" w:lineRule="auto"/>
        <w:ind w:right="-285"/>
      </w:pPr>
      <w:r>
        <w:t>Todos los tubos deberán ir marcados, de forma fácilmente legible y durable, con las siguientes identificaciones como mínimo:</w:t>
      </w:r>
    </w:p>
    <w:p w:rsidR="00C7085E" w:rsidRDefault="00C7085E" w:rsidP="00B71B1A">
      <w:pPr>
        <w:widowControl/>
        <w:numPr>
          <w:ilvl w:val="0"/>
          <w:numId w:val="8"/>
        </w:numPr>
        <w:suppressAutoHyphens/>
        <w:spacing w:before="120" w:after="240" w:line="276" w:lineRule="auto"/>
        <w:ind w:left="714" w:right="-285" w:hanging="357"/>
      </w:pPr>
      <w:r>
        <w:rPr>
          <w:szCs w:val="22"/>
        </w:rPr>
        <w:t>Referencia a la norma EN 12201.</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Nombre o marca del fabricante.</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Dimensiones (DN x e, siendo e el espesor nominal).</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Serie SDR.</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Uso previsto</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Material y designación (PE 100).</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Clasificación de presión, en bar (PN 16).</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Información del fabricante sobre la trazabilidad (periodo y, en su caso, lugar de producción)</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Identificación del certificado de producto emitido por tercera parte, si procede.</w:t>
      </w:r>
    </w:p>
    <w:p w:rsidR="00C7085E" w:rsidRDefault="00C7085E" w:rsidP="00B71B1A">
      <w:pPr>
        <w:keepNext/>
        <w:keepLines/>
        <w:tabs>
          <w:tab w:val="left" w:pos="2428"/>
        </w:tabs>
        <w:spacing w:before="120" w:after="240" w:line="276" w:lineRule="auto"/>
        <w:ind w:right="-285"/>
      </w:pPr>
      <w:r>
        <w:lastRenderedPageBreak/>
        <w:t>Los colores de los tubos empleados, en función de su uso, serán los siguientes:</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4"/>
        <w:gridCol w:w="3402"/>
      </w:tblGrid>
      <w:tr w:rsidR="00C7085E" w:rsidTr="00C7085E">
        <w:trPr>
          <w:jc w:val="center"/>
        </w:trPr>
        <w:tc>
          <w:tcPr>
            <w:tcW w:w="4344" w:type="dxa"/>
            <w:vAlign w:val="center"/>
            <w:hideMark/>
          </w:tcPr>
          <w:p w:rsidR="00C7085E" w:rsidRDefault="00C7085E" w:rsidP="00B71B1A">
            <w:pPr>
              <w:keepNext/>
              <w:keepLines/>
              <w:tabs>
                <w:tab w:val="left" w:pos="2428"/>
              </w:tabs>
              <w:spacing w:before="120" w:after="240" w:line="276" w:lineRule="auto"/>
              <w:ind w:right="-285"/>
            </w:pPr>
            <w:r>
              <w:t>Redes de abastecimiento y acometidas:</w:t>
            </w:r>
          </w:p>
        </w:tc>
        <w:tc>
          <w:tcPr>
            <w:tcW w:w="3402" w:type="dxa"/>
            <w:vAlign w:val="center"/>
            <w:hideMark/>
          </w:tcPr>
          <w:p w:rsidR="00C7085E" w:rsidRDefault="00C7085E" w:rsidP="00B71B1A">
            <w:pPr>
              <w:keepNext/>
              <w:keepLines/>
              <w:tabs>
                <w:tab w:val="left" w:pos="2428"/>
              </w:tabs>
              <w:spacing w:before="120" w:after="240" w:line="276" w:lineRule="auto"/>
              <w:ind w:right="-285"/>
            </w:pPr>
            <w:r>
              <w:t>Negro con bandas azules</w:t>
            </w:r>
          </w:p>
        </w:tc>
      </w:tr>
      <w:tr w:rsidR="00C7085E" w:rsidTr="00C7085E">
        <w:trPr>
          <w:jc w:val="center"/>
        </w:trPr>
        <w:tc>
          <w:tcPr>
            <w:tcW w:w="4344" w:type="dxa"/>
            <w:vAlign w:val="center"/>
            <w:hideMark/>
          </w:tcPr>
          <w:p w:rsidR="00C7085E" w:rsidRDefault="00C7085E" w:rsidP="00B71B1A">
            <w:pPr>
              <w:keepNext/>
              <w:keepLines/>
              <w:tabs>
                <w:tab w:val="left" w:pos="2428"/>
              </w:tabs>
              <w:spacing w:before="120" w:after="240" w:line="276" w:lineRule="auto"/>
              <w:ind w:right="-285"/>
            </w:pPr>
            <w:r>
              <w:t>Redes de saneamiento:</w:t>
            </w:r>
          </w:p>
        </w:tc>
        <w:tc>
          <w:tcPr>
            <w:tcW w:w="3402" w:type="dxa"/>
            <w:vAlign w:val="center"/>
            <w:hideMark/>
          </w:tcPr>
          <w:p w:rsidR="00C7085E" w:rsidRDefault="00C7085E" w:rsidP="00B71B1A">
            <w:pPr>
              <w:keepNext/>
              <w:keepLines/>
              <w:tabs>
                <w:tab w:val="left" w:pos="2428"/>
              </w:tabs>
              <w:spacing w:before="120" w:after="240" w:line="276" w:lineRule="auto"/>
              <w:ind w:right="-285"/>
            </w:pPr>
            <w:r>
              <w:t>Negro con bandas marrones</w:t>
            </w:r>
          </w:p>
        </w:tc>
      </w:tr>
      <w:tr w:rsidR="00C7085E" w:rsidTr="00C7085E">
        <w:trPr>
          <w:jc w:val="center"/>
        </w:trPr>
        <w:tc>
          <w:tcPr>
            <w:tcW w:w="4344" w:type="dxa"/>
            <w:vAlign w:val="center"/>
            <w:hideMark/>
          </w:tcPr>
          <w:p w:rsidR="00C7085E" w:rsidRDefault="00C7085E" w:rsidP="00B71B1A">
            <w:pPr>
              <w:keepNext/>
              <w:keepLines/>
              <w:tabs>
                <w:tab w:val="left" w:pos="2428"/>
              </w:tabs>
              <w:spacing w:before="120" w:after="240" w:line="276" w:lineRule="auto"/>
              <w:ind w:right="-285"/>
            </w:pPr>
            <w:r>
              <w:t>Redes de reutilización:</w:t>
            </w:r>
          </w:p>
        </w:tc>
        <w:tc>
          <w:tcPr>
            <w:tcW w:w="3402" w:type="dxa"/>
            <w:vAlign w:val="center"/>
            <w:hideMark/>
          </w:tcPr>
          <w:p w:rsidR="00C7085E" w:rsidRDefault="00C7085E" w:rsidP="00B71B1A">
            <w:pPr>
              <w:keepNext/>
              <w:keepLines/>
              <w:tabs>
                <w:tab w:val="left" w:pos="2428"/>
              </w:tabs>
              <w:spacing w:before="120" w:after="240" w:line="276" w:lineRule="auto"/>
              <w:ind w:right="-285"/>
            </w:pPr>
            <w:r>
              <w:t>Negro con bandas moradas</w:t>
            </w:r>
          </w:p>
        </w:tc>
      </w:tr>
    </w:tbl>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rPr>
      </w:pPr>
      <w:r>
        <w:t>Ejecución</w:t>
      </w:r>
    </w:p>
    <w:p w:rsidR="00C7085E" w:rsidRDefault="00C7085E" w:rsidP="00B71B1A">
      <w:pPr>
        <w:spacing w:before="120" w:after="240" w:line="276" w:lineRule="auto"/>
        <w:ind w:right="-285"/>
        <w:rPr>
          <w:rFonts w:cs="Arial"/>
          <w:bCs/>
          <w:i/>
          <w:color w:val="000000"/>
          <w:szCs w:val="22"/>
        </w:rPr>
      </w:pPr>
      <w:r>
        <w:rPr>
          <w:rFonts w:cs="Arial"/>
          <w:szCs w:val="22"/>
        </w:rPr>
        <w:t>Para la instalación de conducciones de polietileno, además de las normas citadas, se tendrá en cuenta lo indicado en la norma UNE 53394 IN: “</w:t>
      </w:r>
      <w:r>
        <w:rPr>
          <w:rFonts w:cs="Arial"/>
          <w:bCs/>
          <w:i/>
          <w:color w:val="000000"/>
          <w:szCs w:val="22"/>
        </w:rPr>
        <w:t>Plásticos. Código de instalación y manejo de tubos de polietileno (PE) para conducción de agua a presión. Técnicas recomendadas”.</w:t>
      </w:r>
    </w:p>
    <w:p w:rsidR="00C7085E" w:rsidRDefault="00C7085E" w:rsidP="00B71B1A">
      <w:pPr>
        <w:spacing w:before="120" w:after="240" w:line="276" w:lineRule="auto"/>
        <w:ind w:right="-285"/>
      </w:pPr>
      <w:r>
        <w:t>Las uniones entre tubos de polietileno se realizarán mediante electrofusión. La unión mediante accesorios mecánicos se podrá emplear en reparaciones de tuberías y la unión mediante bridas sólo se utilizará con piezas especiales y elementos de maniobra y control. La soldada térmicamente a tope sólo será aplicable a tubos de DN 200 y con la autorización expresa de la Dirección de Obra.</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keepNext/>
        <w:spacing w:before="120" w:after="240" w:line="276" w:lineRule="auto"/>
        <w:ind w:right="-285"/>
        <w:rPr>
          <w:u w:val="single"/>
        </w:rPr>
      </w:pPr>
      <w:r>
        <w:rPr>
          <w:u w:val="single"/>
        </w:rPr>
        <w:t>Control de calidad de la fabricación</w:t>
      </w:r>
    </w:p>
    <w:p w:rsidR="00C7085E" w:rsidRDefault="00C7085E" w:rsidP="00B71B1A">
      <w:pPr>
        <w:keepNext/>
        <w:spacing w:before="120" w:after="240" w:line="276" w:lineRule="auto"/>
        <w:ind w:right="-285"/>
        <w:rPr>
          <w:rFonts w:ascii="ArialMT" w:hAnsi="ArialMT" w:cs="ArialMT"/>
          <w:szCs w:val="22"/>
        </w:rPr>
      </w:pPr>
      <w:r>
        <w:t>Para el control de calidad de la fabricación de las tuberías de polietileno será de aplicación</w:t>
      </w:r>
      <w:r>
        <w:rPr>
          <w:rFonts w:ascii="ArialMT" w:hAnsi="ArialMT" w:cs="ArialMT"/>
          <w:szCs w:val="22"/>
        </w:rPr>
        <w:t xml:space="preserve"> lo especificado en la norma UNE-EN 12201.</w:t>
      </w:r>
    </w:p>
    <w:p w:rsidR="00C7085E" w:rsidRDefault="00C7085E" w:rsidP="00B71B1A">
      <w:pPr>
        <w:spacing w:before="120" w:after="240" w:line="276" w:lineRule="auto"/>
        <w:ind w:right="-285"/>
      </w:pPr>
      <w:r>
        <w:t>No está normalizada la longitud nominal de los tubos suministrados en barras rectas, debiendo acordarse en cada caso con la Dirección de Obra.</w:t>
      </w:r>
    </w:p>
    <w:p w:rsidR="00C7085E" w:rsidRDefault="00C7085E" w:rsidP="00B71B1A">
      <w:pPr>
        <w:spacing w:before="120" w:after="240" w:line="276" w:lineRule="auto"/>
        <w:ind w:right="-285"/>
      </w:pPr>
      <w:r>
        <w:t>En el caso de tubos que se suministren enrollados, el diámetro interior de la bobina no debe ser inferior a 18·DN.</w:t>
      </w:r>
    </w:p>
    <w:p w:rsidR="00C7085E" w:rsidRDefault="00C7085E" w:rsidP="00B71B1A">
      <w:pPr>
        <w:spacing w:before="120" w:after="240" w:line="276" w:lineRule="auto"/>
        <w:ind w:right="-285"/>
        <w:rPr>
          <w:u w:val="single"/>
        </w:rPr>
      </w:pPr>
      <w:r>
        <w:rPr>
          <w:u w:val="single"/>
        </w:rPr>
        <w:t>Control de calidad de la instalación</w:t>
      </w:r>
    </w:p>
    <w:p w:rsidR="00C7085E" w:rsidRDefault="00C7085E" w:rsidP="00B71B1A">
      <w:pPr>
        <w:spacing w:before="120" w:after="240" w:line="276" w:lineRule="auto"/>
        <w:ind w:right="-285"/>
      </w:pPr>
      <w:r>
        <w:t>Cada tubo a conectar debe centrarse perfectamente con los adyacentes, con una desviación máxima respecto al trazado en planta y alzado de Proyecto de más o menos diez milímetros (±10 mm).</w:t>
      </w:r>
    </w:p>
    <w:p w:rsidR="00C7085E" w:rsidRDefault="00C7085E" w:rsidP="00B71B1A">
      <w:pPr>
        <w:spacing w:before="120" w:after="240" w:line="276" w:lineRule="auto"/>
        <w:ind w:right="-285"/>
      </w:pPr>
      <w:r>
        <w:t>Se comprobará que la conducción está convenientemente colocada sobre el lecho de asiento, que no haya sufrido ningún desperfecto durante la manipulación.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Medición y abono </w:t>
      </w:r>
    </w:p>
    <w:p w:rsidR="00C7085E" w:rsidRDefault="00C7085E" w:rsidP="00B71B1A">
      <w:pPr>
        <w:spacing w:before="120" w:after="240" w:line="276" w:lineRule="auto"/>
        <w:ind w:right="-285"/>
      </w:pPr>
      <w:r>
        <w:t xml:space="preserve">Las tuberías de polietileno se medirán por metros (m) de conducción totalmente terminada y probada en obra y se abonarán al precio que corresponda, en función del diámetro nominal y de la presión nominal, de los que figuren en el Cuadro de Precios vigente de Canal de </w:t>
      </w:r>
      <w:r>
        <w:lastRenderedPageBreak/>
        <w:t>Isabel II Gestión.</w:t>
      </w:r>
    </w:p>
    <w:p w:rsidR="002B7B4D" w:rsidRDefault="00C7085E" w:rsidP="00DF30E5">
      <w:pPr>
        <w:spacing w:before="120" w:after="240" w:line="276" w:lineRule="auto"/>
        <w:ind w:right="-285"/>
      </w:pPr>
      <w:r>
        <w:t>En el precio se consideran incluidos, la parte proporcional de elementos de unión, los medios auxiliares y las pruebas necesarias para el correcto funcionamiento de la tubería.</w:t>
      </w:r>
      <w:bookmarkStart w:id="175" w:name="_Toc414021797"/>
    </w:p>
    <w:p w:rsidR="00DF30E5" w:rsidRDefault="00DF30E5" w:rsidP="00DF30E5">
      <w:pPr>
        <w:spacing w:before="120" w:after="240" w:line="276" w:lineRule="auto"/>
        <w:ind w:right="-285"/>
        <w:rPr>
          <w:rFonts w:ascii="Arial Negrita" w:hAnsi="Arial Negrita"/>
          <w:b/>
          <w:snapToGrid w:val="0"/>
        </w:rPr>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76" w:name="_Toc448741419"/>
      <w:r>
        <w:t>Tubería de poliéster reforzado con fibra de vidrio (PRFV) para redes de abastecimiento</w:t>
      </w:r>
      <w:bookmarkEnd w:id="175"/>
      <w:bookmarkEnd w:id="176"/>
    </w:p>
    <w:p w:rsidR="00C7085E" w:rsidRDefault="00C7085E" w:rsidP="00B71B1A">
      <w:pPr>
        <w:spacing w:before="120" w:after="240" w:line="276" w:lineRule="auto"/>
        <w:ind w:right="-285"/>
        <w:rPr>
          <w:i/>
        </w:rPr>
      </w:pPr>
      <w:r>
        <w:t xml:space="preserve">Las tuberías de poliéster reforzado con fibra de vidrio, de aquí en adelante tuberías de PRFV, se emplearán en redes de abastecimiento y deberán cumplir con las especificaciones establecidas en la UNE-EN 1796: </w:t>
      </w:r>
      <w:r>
        <w:rPr>
          <w:i/>
        </w:rPr>
        <w:t>“Sistemas de canalización en materiales plásticos para suministro de agua con o sin presión. Plásticos termoestables reforzados con fibra de vidrio (PRFV) basados en resina de poliéster insaturada (UP).”</w:t>
      </w:r>
    </w:p>
    <w:p w:rsidR="00C7085E" w:rsidRDefault="00C7085E" w:rsidP="00B71B1A">
      <w:pPr>
        <w:spacing w:before="120" w:after="240" w:line="276" w:lineRule="auto"/>
        <w:ind w:right="-285"/>
      </w:pPr>
      <w:r>
        <w:t>Estas tuberías podrán usarse en conducciones de diámetros igual o superior a 800 mm, hasta los 2.000 mm. La serie de diámetros a utilizar será:</w:t>
      </w:r>
    </w:p>
    <w:p w:rsidR="00C7085E" w:rsidRDefault="00C7085E" w:rsidP="00B71B1A">
      <w:pPr>
        <w:spacing w:before="120" w:after="240" w:line="276" w:lineRule="auto"/>
        <w:ind w:right="-285"/>
        <w:jc w:val="center"/>
      </w:pPr>
      <w:r>
        <w:t>800, 900, 1.000, 1.200, 1.400, 1.600, 1.800, y 2.000</w:t>
      </w:r>
    </w:p>
    <w:p w:rsidR="00C7085E" w:rsidRDefault="00C7085E" w:rsidP="00B71B1A">
      <w:pPr>
        <w:spacing w:before="120" w:after="240" w:line="276" w:lineRule="auto"/>
        <w:ind w:right="-285"/>
      </w:pPr>
      <w:r>
        <w:t>Los tubos y sus accesorios se clasificaran en función de su diámetro nominal, refiriéndose éste al diámetro interior (ID), de la presión nominal (PN) y de su rigidez nominal (SN).</w:t>
      </w:r>
    </w:p>
    <w:p w:rsidR="00C7085E" w:rsidRDefault="00C7085E" w:rsidP="00B71B1A">
      <w:pPr>
        <w:spacing w:before="120" w:after="240" w:line="276" w:lineRule="auto"/>
        <w:ind w:right="-285"/>
      </w:pPr>
      <w:r>
        <w:t>Estos tubos presentan la singularidad de poder ser fabricados bajo dos series: la serie A y la serie B.</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Materiales </w:t>
      </w:r>
    </w:p>
    <w:p w:rsidR="00C7085E" w:rsidRDefault="00C7085E" w:rsidP="00B71B1A">
      <w:pPr>
        <w:spacing w:before="120" w:after="240" w:line="276" w:lineRule="auto"/>
        <w:ind w:right="-285"/>
        <w:rPr>
          <w:szCs w:val="22"/>
        </w:rPr>
      </w:pPr>
      <w:r>
        <w:rPr>
          <w:szCs w:val="22"/>
        </w:rPr>
        <w:t>Los tubos de PRFV deberán cumplir con lo especificado en la norma UNE-EN 1796.</w:t>
      </w:r>
    </w:p>
    <w:p w:rsidR="00C7085E" w:rsidRDefault="00C7085E" w:rsidP="00B71B1A">
      <w:pPr>
        <w:spacing w:before="120" w:after="240" w:line="276" w:lineRule="auto"/>
        <w:ind w:right="-285"/>
        <w:rPr>
          <w:szCs w:val="22"/>
        </w:rPr>
      </w:pPr>
      <w:r>
        <w:rPr>
          <w:szCs w:val="22"/>
        </w:rPr>
        <w:t>Los valores normalizados de presión nominal de los tubos a emplear serán:</w:t>
      </w:r>
    </w:p>
    <w:p w:rsidR="00C7085E" w:rsidRDefault="00C7085E" w:rsidP="00B71B1A">
      <w:pPr>
        <w:spacing w:before="120" w:after="240" w:line="276" w:lineRule="auto"/>
        <w:ind w:right="-285"/>
        <w:jc w:val="center"/>
        <w:rPr>
          <w:szCs w:val="22"/>
        </w:rPr>
      </w:pPr>
      <w:r>
        <w:rPr>
          <w:szCs w:val="22"/>
        </w:rPr>
        <w:t>PN-16, PN-20 y PN-25</w:t>
      </w:r>
    </w:p>
    <w:p w:rsidR="00C7085E" w:rsidRDefault="00C7085E" w:rsidP="00B71B1A">
      <w:pPr>
        <w:spacing w:before="120" w:after="240" w:line="276" w:lineRule="auto"/>
        <w:ind w:right="-285"/>
        <w:rPr>
          <w:szCs w:val="22"/>
        </w:rPr>
      </w:pPr>
      <w:r>
        <w:rPr>
          <w:szCs w:val="22"/>
        </w:rPr>
        <w:t>Los valores normalizados de rigidez nominal, SN, a utilizar serán: 5.000, 8.000 ó 10.000 kN/m</w:t>
      </w:r>
      <w:r>
        <w:rPr>
          <w:szCs w:val="22"/>
          <w:vertAlign w:val="superscript"/>
        </w:rPr>
        <w:t>2</w:t>
      </w:r>
      <w:r>
        <w:rPr>
          <w:szCs w:val="22"/>
        </w:rPr>
        <w:t>.</w:t>
      </w:r>
    </w:p>
    <w:p w:rsidR="00C7085E" w:rsidRDefault="00C7085E" w:rsidP="00B71B1A">
      <w:pPr>
        <w:spacing w:before="120" w:after="240" w:line="276" w:lineRule="auto"/>
        <w:ind w:right="-285"/>
      </w:pPr>
      <w:r>
        <w:t>La rigidez a corto plazo (S0) deberá ser al menos el valor de la rigidez nominal SN, mientras que la rigidez a los 50 años del tubo (S50) deberá ser declarada por el fabricante. En cuanto a la resistencia a la tracción de la parte estructural del tubo, tanto a corto como a largo plazo, también deberá ser declarada por el fabricante.</w:t>
      </w:r>
    </w:p>
    <w:p w:rsidR="00C7085E" w:rsidRDefault="00C7085E" w:rsidP="00B71B1A">
      <w:pPr>
        <w:spacing w:before="120" w:after="240" w:line="276" w:lineRule="auto"/>
        <w:ind w:right="-285"/>
      </w:pPr>
      <w:r>
        <w:t xml:space="preserve">Los tubos deberán ir marcados directamente en su superficie de manera legible a simple vista, de manera que el marcado no inicie fisuras u otro tipo de fallo. </w:t>
      </w:r>
    </w:p>
    <w:p w:rsidR="00C7085E" w:rsidRDefault="00C7085E" w:rsidP="00B71B1A">
      <w:pPr>
        <w:spacing w:before="120" w:after="240" w:line="276" w:lineRule="auto"/>
        <w:ind w:right="-285"/>
      </w:pPr>
      <w:r>
        <w:t>El marcado siguiente debe figurar en el interior o el exterior de cada tubo:</w:t>
      </w:r>
    </w:p>
    <w:p w:rsidR="00C7085E" w:rsidRDefault="00C7085E" w:rsidP="00B71B1A">
      <w:pPr>
        <w:widowControl/>
        <w:numPr>
          <w:ilvl w:val="0"/>
          <w:numId w:val="12"/>
        </w:numPr>
        <w:suppressAutoHyphens/>
        <w:spacing w:before="120" w:after="240" w:line="276" w:lineRule="auto"/>
        <w:ind w:left="714" w:right="-285" w:hanging="357"/>
      </w:pPr>
      <w:r>
        <w:t>Referencia a la norma EN 179</w:t>
      </w:r>
    </w:p>
    <w:p w:rsidR="00C7085E" w:rsidRDefault="00C7085E" w:rsidP="00B71B1A">
      <w:pPr>
        <w:widowControl/>
        <w:numPr>
          <w:ilvl w:val="0"/>
          <w:numId w:val="12"/>
        </w:numPr>
        <w:suppressAutoHyphens/>
        <w:spacing w:before="120" w:after="240" w:line="276" w:lineRule="auto"/>
        <w:ind w:left="714" w:right="-285" w:hanging="357"/>
      </w:pPr>
      <w:r>
        <w:lastRenderedPageBreak/>
        <w:t>Diámetro nominal (DN) y la serie de diámetro: A o B1.</w:t>
      </w:r>
    </w:p>
    <w:p w:rsidR="00C7085E" w:rsidRDefault="00C7085E" w:rsidP="00B71B1A">
      <w:pPr>
        <w:widowControl/>
        <w:numPr>
          <w:ilvl w:val="0"/>
          <w:numId w:val="12"/>
        </w:numPr>
        <w:suppressAutoHyphens/>
        <w:spacing w:before="120" w:after="240" w:line="276" w:lineRule="auto"/>
        <w:ind w:left="714" w:right="-285" w:hanging="357"/>
      </w:pPr>
      <w:r>
        <w:t>Valor de la rigidez nominal, SN.</w:t>
      </w:r>
    </w:p>
    <w:p w:rsidR="00C7085E" w:rsidRDefault="00C7085E" w:rsidP="00B71B1A">
      <w:pPr>
        <w:widowControl/>
        <w:numPr>
          <w:ilvl w:val="0"/>
          <w:numId w:val="12"/>
        </w:numPr>
        <w:suppressAutoHyphens/>
        <w:spacing w:before="120" w:after="240" w:line="276" w:lineRule="auto"/>
        <w:ind w:left="714" w:right="-285" w:hanging="357"/>
      </w:pPr>
      <w:r>
        <w:t>Valor de la presión nominal, PN.</w:t>
      </w:r>
    </w:p>
    <w:p w:rsidR="00C7085E" w:rsidRDefault="00C7085E" w:rsidP="00B71B1A">
      <w:pPr>
        <w:widowControl/>
        <w:numPr>
          <w:ilvl w:val="0"/>
          <w:numId w:val="12"/>
        </w:numPr>
        <w:suppressAutoHyphens/>
        <w:spacing w:before="120" w:after="240" w:line="276" w:lineRule="auto"/>
        <w:ind w:left="714" w:right="-285" w:hanging="357"/>
      </w:pPr>
      <w:r>
        <w:t>Una “P” en el caso de tubos empleados para el transporte de agua para consumo humano.</w:t>
      </w:r>
    </w:p>
    <w:p w:rsidR="00C7085E" w:rsidRDefault="00C7085E" w:rsidP="00B71B1A">
      <w:pPr>
        <w:widowControl/>
        <w:numPr>
          <w:ilvl w:val="0"/>
          <w:numId w:val="12"/>
        </w:numPr>
        <w:suppressAutoHyphens/>
        <w:spacing w:before="120" w:after="240" w:line="276" w:lineRule="auto"/>
        <w:ind w:left="714" w:right="-285" w:hanging="357"/>
      </w:pPr>
      <w:r>
        <w:t>Nombre o marca del fabricante.</w:t>
      </w:r>
    </w:p>
    <w:p w:rsidR="00C7085E" w:rsidRDefault="00C7085E" w:rsidP="00B71B1A">
      <w:pPr>
        <w:widowControl/>
        <w:numPr>
          <w:ilvl w:val="0"/>
          <w:numId w:val="12"/>
        </w:numPr>
        <w:suppressAutoHyphens/>
        <w:spacing w:before="120" w:after="240" w:line="276" w:lineRule="auto"/>
        <w:ind w:left="714" w:right="-285" w:hanging="357"/>
      </w:pPr>
      <w:r>
        <w:t>Fecha y código de fabricación.</w:t>
      </w:r>
    </w:p>
    <w:p w:rsidR="00C7085E" w:rsidRDefault="00C7085E" w:rsidP="00B71B1A">
      <w:pPr>
        <w:widowControl/>
        <w:numPr>
          <w:ilvl w:val="0"/>
          <w:numId w:val="12"/>
        </w:numPr>
        <w:suppressAutoHyphens/>
        <w:spacing w:before="120" w:after="240" w:line="276" w:lineRule="auto"/>
        <w:ind w:left="714" w:right="-285" w:hanging="357"/>
      </w:pPr>
      <w:r>
        <w:t>Una marca “R”, si procede, para indicar si el tubo es adecuado para utilizarse con cargas axiales.</w:t>
      </w:r>
    </w:p>
    <w:p w:rsidR="00C7085E" w:rsidRDefault="00C7085E" w:rsidP="00B71B1A">
      <w:pPr>
        <w:widowControl/>
        <w:numPr>
          <w:ilvl w:val="0"/>
          <w:numId w:val="12"/>
        </w:numPr>
        <w:suppressAutoHyphens/>
        <w:spacing w:before="120" w:after="240" w:line="276" w:lineRule="auto"/>
        <w:ind w:left="714" w:right="-285" w:hanging="357"/>
      </w:pPr>
      <w:r>
        <w:t>Una marca “RA”, si procede, para indicar si el tubo es adecuado para utilizarse con cargas axiales y se ha sometido a ensayo conforme al anexo A de la norma UNE-EN 1796.</w:t>
      </w:r>
    </w:p>
    <w:p w:rsidR="00C7085E" w:rsidRDefault="00C7085E" w:rsidP="00B71B1A">
      <w:pPr>
        <w:widowControl/>
        <w:numPr>
          <w:ilvl w:val="0"/>
          <w:numId w:val="12"/>
        </w:numPr>
        <w:suppressAutoHyphens/>
        <w:spacing w:before="120" w:after="240" w:line="276" w:lineRule="auto"/>
        <w:ind w:left="714" w:right="-285" w:hanging="357"/>
      </w:pPr>
      <w:r>
        <w:t>Letra “H” para indicar la aptitud para el uso aéreo, si procede.</w:t>
      </w:r>
    </w:p>
    <w:p w:rsidR="00C7085E" w:rsidRDefault="00C7085E" w:rsidP="00B71B1A">
      <w:pPr>
        <w:widowControl/>
        <w:numPr>
          <w:ilvl w:val="0"/>
          <w:numId w:val="12"/>
        </w:numPr>
        <w:suppressAutoHyphens/>
        <w:spacing w:before="120" w:after="240" w:line="276" w:lineRule="auto"/>
        <w:ind w:left="714" w:right="-285" w:hanging="357"/>
      </w:pPr>
      <w:r>
        <w:t>Marca de calidad normalizada, si procede.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Deberá prestarse especial atención al transporte, almacenamiento y manipulación de las tuberías de PRFV para evitar cualquier daño en los mismos.</w:t>
      </w:r>
    </w:p>
    <w:p w:rsidR="00C7085E" w:rsidRDefault="00C7085E" w:rsidP="00B71B1A">
      <w:pPr>
        <w:spacing w:before="120" w:after="240" w:line="276" w:lineRule="auto"/>
        <w:ind w:right="-285"/>
      </w:pPr>
      <w:r>
        <w:t xml:space="preserve">Para el transporte de los tubos se acondicionarán cunas que acopladas al vehículo, garanticen su inmovilidad y eviten el contacto de unos con otros, siendo imprescindible la sujeción de los tubos al vehículo por medio de bandas textiles adecuadas. </w:t>
      </w:r>
    </w:p>
    <w:p w:rsidR="00C7085E" w:rsidRDefault="00C7085E" w:rsidP="00B71B1A">
      <w:pPr>
        <w:spacing w:before="120" w:after="240" w:line="276" w:lineRule="auto"/>
        <w:ind w:right="-285"/>
      </w:pPr>
      <w:r>
        <w:t>Esto será de aplicación también en los desplazamientos interiores en la obra.</w:t>
      </w:r>
    </w:p>
    <w:p w:rsidR="00C7085E" w:rsidRDefault="00C7085E" w:rsidP="00B71B1A">
      <w:pPr>
        <w:spacing w:before="120" w:after="240" w:line="276" w:lineRule="auto"/>
        <w:ind w:right="-285"/>
      </w:pPr>
      <w:r>
        <w:t>El Adjudicatario adoptará las medidas necesarias para almacenar los tubos sin riesgo de que sean dañados por piedras u otros salientes del terreno. El acopio de los tubos se hará en posición horizontal, sujetos mediante calzos de madera u otros dispositivos que garanticen su inmovilidad.</w:t>
      </w:r>
    </w:p>
    <w:p w:rsidR="00C7085E" w:rsidRDefault="00C7085E" w:rsidP="00B71B1A">
      <w:pPr>
        <w:spacing w:before="120" w:after="240" w:line="276" w:lineRule="auto"/>
        <w:ind w:right="-285"/>
      </w:pPr>
      <w:r>
        <w:t>Los sistemas de unión en los tubos de PRFV podrán ser alguno de los siguientes:</w:t>
      </w:r>
    </w:p>
    <w:p w:rsidR="00C7085E" w:rsidRDefault="00C7085E" w:rsidP="00B71B1A">
      <w:pPr>
        <w:widowControl/>
        <w:numPr>
          <w:ilvl w:val="0"/>
          <w:numId w:val="12"/>
        </w:numPr>
        <w:spacing w:before="120" w:after="240" w:line="276" w:lineRule="auto"/>
        <w:ind w:right="-285"/>
      </w:pPr>
      <w:r>
        <w:t>Uniones rígidas</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Con bridas (fijas o móviles)</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Encoladas</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Vendadas a tope (o laminadas)</w:t>
      </w:r>
    </w:p>
    <w:p w:rsidR="00DF30E5" w:rsidRDefault="00DF30E5" w:rsidP="00DF30E5">
      <w:pPr>
        <w:pStyle w:val="Prrafodelista"/>
        <w:suppressAutoHyphens w:val="0"/>
        <w:autoSpaceDE w:val="0"/>
        <w:autoSpaceDN w:val="0"/>
        <w:adjustRightInd w:val="0"/>
        <w:spacing w:before="120" w:after="240"/>
        <w:ind w:left="1094" w:right="-285"/>
        <w:rPr>
          <w:rFonts w:ascii="Arial" w:hAnsi="Arial" w:cs="Arial"/>
          <w:lang w:val="es-ES_tradnl"/>
        </w:rPr>
      </w:pPr>
    </w:p>
    <w:p w:rsidR="00C7085E" w:rsidRDefault="00C7085E" w:rsidP="00B71B1A">
      <w:pPr>
        <w:widowControl/>
        <w:numPr>
          <w:ilvl w:val="0"/>
          <w:numId w:val="12"/>
        </w:numPr>
        <w:spacing w:before="120" w:after="240" w:line="276" w:lineRule="auto"/>
        <w:ind w:right="-285"/>
        <w:rPr>
          <w:rFonts w:cs="Arial"/>
          <w:lang w:val="es-ES_tradnl"/>
        </w:rPr>
      </w:pPr>
      <w:r>
        <w:rPr>
          <w:rFonts w:cs="Arial"/>
        </w:rPr>
        <w:lastRenderedPageBreak/>
        <w:t>Uniones flexibles</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Con enchufe y extremo liso con anillo elastomérico (con uno dos anillos)</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Con manguitos y elemento de estanqueidad (con uno dos anillos)</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Autotrabada, cuando se prevean esfuerzos de tracción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Control de calidad</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Será de aplicación lo especificado en la norma UNE-EN 1796.</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t>Será de aplicación lo especificado al respecto en la norma UNE-EN 1796.</w:t>
      </w:r>
    </w:p>
    <w:p w:rsidR="009A2888" w:rsidRDefault="00C7085E" w:rsidP="00B71B1A">
      <w:pPr>
        <w:keepNext/>
        <w:keepLines/>
        <w:spacing w:before="120" w:after="240" w:line="276" w:lineRule="auto"/>
        <w:ind w:right="-285"/>
      </w:pPr>
      <w:r>
        <w:t>Excepto para las uniones tabladas, las juntas flexibles deben tener una desviación angular máxima admisible que no sea inferior a los valores siguientes:</w:t>
      </w:r>
    </w:p>
    <w:p w:rsidR="00C7085E" w:rsidRPr="009A2888" w:rsidRDefault="00C7085E" w:rsidP="00B71B1A">
      <w:pPr>
        <w:spacing w:line="276" w:lineRule="auto"/>
        <w:ind w:right="-285"/>
        <w:rPr>
          <w:sz w:val="2"/>
          <w:szCs w:val="2"/>
        </w:rPr>
      </w:pPr>
    </w:p>
    <w:tbl>
      <w:tblPr>
        <w:tblW w:w="0" w:type="auto"/>
        <w:jc w:val="center"/>
        <w:tblBorders>
          <w:top w:val="single" w:sz="4" w:space="0" w:color="auto"/>
          <w:bottom w:val="single" w:sz="4" w:space="0" w:color="auto"/>
        </w:tblBorders>
        <w:tblLook w:val="01E0" w:firstRow="1" w:lastRow="1" w:firstColumn="1" w:lastColumn="1" w:noHBand="0" w:noVBand="0"/>
      </w:tblPr>
      <w:tblGrid>
        <w:gridCol w:w="2791"/>
        <w:gridCol w:w="2879"/>
      </w:tblGrid>
      <w:tr w:rsidR="00C7085E" w:rsidTr="009A2888">
        <w:trPr>
          <w:trHeight w:val="841"/>
          <w:jc w:val="center"/>
        </w:trPr>
        <w:tc>
          <w:tcPr>
            <w:tcW w:w="279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120" w:line="276" w:lineRule="auto"/>
              <w:ind w:right="-285"/>
              <w:jc w:val="center"/>
              <w:rPr>
                <w:b/>
                <w:szCs w:val="20"/>
              </w:rPr>
            </w:pPr>
            <w:r>
              <w:rPr>
                <w:b/>
                <w:szCs w:val="20"/>
              </w:rPr>
              <w:t>DN</w:t>
            </w:r>
          </w:p>
        </w:tc>
        <w:tc>
          <w:tcPr>
            <w:tcW w:w="2879"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120" w:line="276" w:lineRule="auto"/>
              <w:ind w:right="-285"/>
              <w:jc w:val="center"/>
              <w:rPr>
                <w:b/>
                <w:szCs w:val="20"/>
              </w:rPr>
            </w:pPr>
            <w:r>
              <w:rPr>
                <w:b/>
                <w:szCs w:val="20"/>
              </w:rPr>
              <w:t>Desviación angular mínima</w:t>
            </w:r>
          </w:p>
        </w:tc>
      </w:tr>
      <w:tr w:rsidR="00C7085E" w:rsidTr="009A2888">
        <w:trPr>
          <w:jc w:val="center"/>
        </w:trPr>
        <w:tc>
          <w:tcPr>
            <w:tcW w:w="2791" w:type="dxa"/>
            <w:tcBorders>
              <w:top w:val="single" w:sz="4" w:space="0" w:color="auto"/>
              <w:left w:val="single" w:sz="4" w:space="0" w:color="auto"/>
              <w:bottom w:val="nil"/>
              <w:right w:val="single" w:sz="4" w:space="0" w:color="auto"/>
            </w:tcBorders>
            <w:vAlign w:val="center"/>
            <w:hideMark/>
          </w:tcPr>
          <w:p w:rsidR="00C7085E" w:rsidRDefault="00C7085E" w:rsidP="00B71B1A">
            <w:pPr>
              <w:keepNext/>
              <w:keepLines/>
              <w:spacing w:before="120" w:after="240" w:line="276" w:lineRule="auto"/>
              <w:ind w:right="-285"/>
              <w:jc w:val="center"/>
              <w:rPr>
                <w:szCs w:val="20"/>
              </w:rPr>
            </w:pPr>
            <w:r>
              <w:rPr>
                <w:szCs w:val="20"/>
              </w:rPr>
              <w:t xml:space="preserve">DN </w:t>
            </w:r>
            <w:r>
              <w:rPr>
                <w:rFonts w:cs="Arial"/>
                <w:szCs w:val="20"/>
              </w:rPr>
              <w:t>≤</w:t>
            </w:r>
            <w:r>
              <w:rPr>
                <w:szCs w:val="20"/>
              </w:rPr>
              <w:t xml:space="preserve"> 500</w:t>
            </w:r>
          </w:p>
        </w:tc>
        <w:tc>
          <w:tcPr>
            <w:tcW w:w="2879" w:type="dxa"/>
            <w:tcBorders>
              <w:top w:val="single" w:sz="4" w:space="0" w:color="auto"/>
              <w:left w:val="single" w:sz="4" w:space="0" w:color="auto"/>
              <w:bottom w:val="nil"/>
              <w:right w:val="single" w:sz="4" w:space="0" w:color="auto"/>
            </w:tcBorders>
            <w:vAlign w:val="center"/>
            <w:hideMark/>
          </w:tcPr>
          <w:p w:rsidR="00C7085E" w:rsidRDefault="00C7085E" w:rsidP="00B71B1A">
            <w:pPr>
              <w:keepNext/>
              <w:keepLines/>
              <w:spacing w:before="120" w:after="240" w:line="276" w:lineRule="auto"/>
              <w:ind w:right="-285"/>
              <w:jc w:val="center"/>
              <w:rPr>
                <w:szCs w:val="20"/>
              </w:rPr>
            </w:pPr>
            <w:r>
              <w:rPr>
                <w:szCs w:val="20"/>
              </w:rPr>
              <w:t>3º</w:t>
            </w:r>
          </w:p>
        </w:tc>
      </w:tr>
      <w:tr w:rsidR="00C7085E" w:rsidTr="009A2888">
        <w:trPr>
          <w:jc w:val="center"/>
        </w:trPr>
        <w:tc>
          <w:tcPr>
            <w:tcW w:w="2791" w:type="dxa"/>
            <w:tcBorders>
              <w:top w:val="nil"/>
              <w:left w:val="single" w:sz="4" w:space="0" w:color="auto"/>
              <w:bottom w:val="nil"/>
              <w:right w:val="single" w:sz="4" w:space="0" w:color="auto"/>
            </w:tcBorders>
            <w:vAlign w:val="center"/>
            <w:hideMark/>
          </w:tcPr>
          <w:p w:rsidR="00C7085E" w:rsidRDefault="00C7085E" w:rsidP="00B71B1A">
            <w:pPr>
              <w:keepNext/>
              <w:keepLines/>
              <w:spacing w:before="120" w:after="240" w:line="276" w:lineRule="auto"/>
              <w:ind w:right="-285"/>
              <w:jc w:val="center"/>
              <w:rPr>
                <w:szCs w:val="20"/>
              </w:rPr>
            </w:pPr>
            <w:r>
              <w:rPr>
                <w:szCs w:val="20"/>
              </w:rPr>
              <w:t>500 &lt; DN &lt; 900</w:t>
            </w:r>
          </w:p>
        </w:tc>
        <w:tc>
          <w:tcPr>
            <w:tcW w:w="2879" w:type="dxa"/>
            <w:tcBorders>
              <w:top w:val="nil"/>
              <w:left w:val="single" w:sz="4" w:space="0" w:color="auto"/>
              <w:bottom w:val="nil"/>
              <w:right w:val="single" w:sz="4" w:space="0" w:color="auto"/>
            </w:tcBorders>
            <w:vAlign w:val="center"/>
            <w:hideMark/>
          </w:tcPr>
          <w:p w:rsidR="00C7085E" w:rsidRDefault="00C7085E" w:rsidP="00B71B1A">
            <w:pPr>
              <w:keepNext/>
              <w:keepLines/>
              <w:spacing w:before="120" w:after="240" w:line="276" w:lineRule="auto"/>
              <w:ind w:right="-285"/>
              <w:jc w:val="center"/>
              <w:rPr>
                <w:szCs w:val="20"/>
              </w:rPr>
            </w:pPr>
            <w:r>
              <w:rPr>
                <w:szCs w:val="20"/>
              </w:rPr>
              <w:t>2º</w:t>
            </w:r>
          </w:p>
        </w:tc>
      </w:tr>
      <w:tr w:rsidR="00C7085E" w:rsidTr="009A2888">
        <w:trPr>
          <w:jc w:val="center"/>
        </w:trPr>
        <w:tc>
          <w:tcPr>
            <w:tcW w:w="2791" w:type="dxa"/>
            <w:tcBorders>
              <w:top w:val="nil"/>
              <w:left w:val="single" w:sz="4" w:space="0" w:color="auto"/>
              <w:bottom w:val="nil"/>
              <w:right w:val="single" w:sz="4" w:space="0" w:color="auto"/>
            </w:tcBorders>
            <w:vAlign w:val="center"/>
            <w:hideMark/>
          </w:tcPr>
          <w:p w:rsidR="00C7085E" w:rsidRDefault="00C7085E" w:rsidP="00B71B1A">
            <w:pPr>
              <w:keepNext/>
              <w:keepLines/>
              <w:spacing w:before="120" w:after="240" w:line="276" w:lineRule="auto"/>
              <w:ind w:right="-285"/>
              <w:jc w:val="center"/>
              <w:rPr>
                <w:szCs w:val="20"/>
              </w:rPr>
            </w:pPr>
            <w:r>
              <w:rPr>
                <w:szCs w:val="20"/>
              </w:rPr>
              <w:t>900 &lt; DN &lt; 1800</w:t>
            </w:r>
          </w:p>
        </w:tc>
        <w:tc>
          <w:tcPr>
            <w:tcW w:w="2879" w:type="dxa"/>
            <w:tcBorders>
              <w:top w:val="nil"/>
              <w:left w:val="single" w:sz="4" w:space="0" w:color="auto"/>
              <w:bottom w:val="nil"/>
              <w:right w:val="single" w:sz="4" w:space="0" w:color="auto"/>
            </w:tcBorders>
            <w:vAlign w:val="center"/>
            <w:hideMark/>
          </w:tcPr>
          <w:p w:rsidR="00C7085E" w:rsidRDefault="00C7085E" w:rsidP="00B71B1A">
            <w:pPr>
              <w:keepNext/>
              <w:keepLines/>
              <w:spacing w:before="120" w:after="240" w:line="276" w:lineRule="auto"/>
              <w:ind w:right="-285"/>
              <w:jc w:val="center"/>
              <w:rPr>
                <w:szCs w:val="20"/>
              </w:rPr>
            </w:pPr>
            <w:r>
              <w:rPr>
                <w:szCs w:val="20"/>
              </w:rPr>
              <w:t>1º</w:t>
            </w:r>
          </w:p>
        </w:tc>
      </w:tr>
      <w:tr w:rsidR="00C7085E" w:rsidTr="009A2888">
        <w:trPr>
          <w:jc w:val="center"/>
        </w:trPr>
        <w:tc>
          <w:tcPr>
            <w:tcW w:w="2791" w:type="dxa"/>
            <w:tcBorders>
              <w:top w:val="nil"/>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Cs w:val="20"/>
              </w:rPr>
            </w:pPr>
            <w:r>
              <w:rPr>
                <w:szCs w:val="20"/>
              </w:rPr>
              <w:t>DN &gt; 1800</w:t>
            </w:r>
          </w:p>
        </w:tc>
        <w:tc>
          <w:tcPr>
            <w:tcW w:w="2879" w:type="dxa"/>
            <w:tcBorders>
              <w:top w:val="nil"/>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Cs w:val="20"/>
              </w:rPr>
            </w:pPr>
            <w:r>
              <w:rPr>
                <w:szCs w:val="20"/>
              </w:rPr>
              <w:t>0,5º</w:t>
            </w:r>
          </w:p>
        </w:tc>
      </w:tr>
    </w:tbl>
    <w:p w:rsidR="00C7085E" w:rsidRDefault="00C7085E" w:rsidP="00B71B1A">
      <w:pPr>
        <w:pStyle w:val="Tabla"/>
        <w:keepNext/>
        <w:keepLines/>
        <w:spacing w:before="120" w:line="276" w:lineRule="auto"/>
        <w:ind w:left="1077" w:right="-285" w:hanging="357"/>
      </w:pPr>
      <w:r>
        <w:t>Desviación angular admisible de las uniones flexibles</w:t>
      </w:r>
    </w:p>
    <w:p w:rsidR="00C7085E" w:rsidRDefault="00C7085E" w:rsidP="00B71B1A">
      <w:pPr>
        <w:spacing w:before="120" w:after="240" w:line="276" w:lineRule="auto"/>
        <w:ind w:right="-285"/>
      </w:pPr>
      <w:r>
        <w:t>El movimiento axial no superará nunca el 0,3% de la longitud de los tubos a unir.</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tuberías de PRFV se medirán por metros (m) de conducción totalmente terminada y probada en obra.</w:t>
      </w:r>
    </w:p>
    <w:p w:rsidR="00C7085E" w:rsidRDefault="00C7085E" w:rsidP="00B71B1A">
      <w:pPr>
        <w:spacing w:before="120" w:after="240" w:line="276" w:lineRule="auto"/>
        <w:ind w:right="-285"/>
      </w:pPr>
      <w:r>
        <w:t>El precio al que se abonará cada tubería será el que corresponda a su uso, diámetro nominal, presión nominal y rigidez nominal, según los precios que figuren en el Cuadro de Precios vigente de Canal de Isabel II Gestión.</w:t>
      </w:r>
    </w:p>
    <w:p w:rsidR="00C7085E" w:rsidRDefault="00C7085E" w:rsidP="00B71B1A">
      <w:pPr>
        <w:spacing w:before="120" w:after="240" w:line="276" w:lineRule="auto"/>
        <w:ind w:right="-285"/>
      </w:pPr>
      <w:r>
        <w:t>En los precios incluidos la parte proporcional de junta de unión, los medios auxiliares y todas las pruebas necesarias para el correcto funcionamiento de la tubería.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77" w:name="_Toc414021798"/>
      <w:bookmarkStart w:id="178" w:name="_Toc448741420"/>
      <w:r>
        <w:lastRenderedPageBreak/>
        <w:t xml:space="preserve">Tubería de poliéster reforzado con fibra de vidrio (PRFV) para redes de </w:t>
      </w:r>
      <w:bookmarkEnd w:id="177"/>
      <w:r>
        <w:t>saneamiento</w:t>
      </w:r>
      <w:bookmarkEnd w:id="178"/>
    </w:p>
    <w:p w:rsidR="00C7085E" w:rsidRDefault="00C7085E" w:rsidP="00B71B1A">
      <w:pPr>
        <w:spacing w:before="120" w:after="240" w:line="276" w:lineRule="auto"/>
        <w:ind w:right="-285"/>
      </w:pPr>
      <w:r>
        <w:t>Los tubos de PRFV para redes de saneamiento deberán cumplir con lo especificado para los mismos en la norma UNE-EN 14364:</w:t>
      </w:r>
      <w:r>
        <w:rPr>
          <w:i/>
        </w:rPr>
        <w:t>”Sistemas de canalización en materiales plásticos para evacuación y saneamiento con o sin presión. Plásticos termoendurecibles reforzados con vidrio (PRFV) a base de resina de poliéster insaturado (UP). Especificaciones para tuberías, accesorios y uniones”.</w:t>
      </w:r>
    </w:p>
    <w:p w:rsidR="00C7085E" w:rsidRDefault="00C7085E" w:rsidP="00B71B1A">
      <w:pPr>
        <w:spacing w:before="120" w:after="240" w:line="276" w:lineRule="auto"/>
        <w:ind w:right="-285"/>
      </w:pPr>
      <w:r>
        <w:t>Las tuberías de PRFV para redes de saneamiento cuyo funcionamiento hidráulico sea por gravedad, podrán usarse en conducciones de diámetros igual o superior a 400 mm, hasta los 3.000 mm. En este caso, la serie de diámetros normalizados a utilizar será:</w:t>
      </w:r>
    </w:p>
    <w:p w:rsidR="00C7085E" w:rsidRDefault="00C7085E" w:rsidP="00B71B1A">
      <w:pPr>
        <w:spacing w:before="120" w:after="240" w:line="276" w:lineRule="auto"/>
        <w:ind w:right="-285"/>
      </w:pPr>
      <w:r>
        <w:t>400, 450, 500, 600, 700, 800, 900, 1000, 1200, 1400, 1600, 1800, 2000, 2200, 2400, 2600, 2800 y 3.000</w:t>
      </w:r>
    </w:p>
    <w:p w:rsidR="00C7085E" w:rsidRDefault="00C7085E" w:rsidP="00B71B1A">
      <w:pPr>
        <w:spacing w:before="120" w:after="240" w:line="276" w:lineRule="auto"/>
        <w:ind w:right="-285"/>
      </w:pPr>
      <w:r>
        <w:t>Para el caso de las impulsiones, el rango de diámetros va de 150 a 800 mm.</w:t>
      </w:r>
    </w:p>
    <w:p w:rsidR="00C7085E" w:rsidRDefault="00C7085E" w:rsidP="00B71B1A">
      <w:pPr>
        <w:spacing w:before="120" w:after="240" w:line="276" w:lineRule="auto"/>
        <w:ind w:right="-285"/>
      </w:pPr>
      <w:r>
        <w:t>Estos tubos pueden ser fabricados bajo dos series: la serie A y la B, de manera que la designación genérica DN se refiere al diámetro interior (ID) en los de la serie A y al exterior (OD) en los de la serie B.</w:t>
      </w:r>
    </w:p>
    <w:p w:rsidR="00C7085E" w:rsidRDefault="00C7085E" w:rsidP="00B71B1A">
      <w:pPr>
        <w:spacing w:before="120" w:after="240" w:line="276" w:lineRule="auto"/>
        <w:ind w:right="-285"/>
        <w:rPr>
          <w:spacing w:val="-2"/>
        </w:rPr>
      </w:pPr>
      <w:r>
        <w:rPr>
          <w:spacing w:val="-2"/>
        </w:rPr>
        <w:t xml:space="preserve">Para la serie B, además, existen cuatro subseries: B1, B2, B3 y B4. La primera es una serie genérica para tubos de PRFV, mientras que las series B2, B3 y B4 tienen unas dimensiones tales que </w:t>
      </w:r>
      <w:r>
        <w:t>los tubos</w:t>
      </w:r>
      <w:r>
        <w:rPr>
          <w:spacing w:val="-2"/>
        </w:rPr>
        <w:t xml:space="preserve"> fabricados bajo dichas series sean compatibles, respectivamente, con accesorios de fundición (según ISO 2.531), de PVC (según ISO 161-1) o de acero (según ISO 4.200).</w:t>
      </w:r>
    </w:p>
    <w:p w:rsidR="00C7085E" w:rsidRDefault="00C7085E" w:rsidP="00B71B1A">
      <w:pPr>
        <w:spacing w:before="120" w:after="240" w:line="276" w:lineRule="auto"/>
        <w:ind w:right="-285"/>
      </w:pPr>
      <w:r>
        <w:t xml:space="preserve">Los parámetros de clasificación de </w:t>
      </w:r>
      <w:r>
        <w:rPr>
          <w:bCs/>
        </w:rPr>
        <w:t xml:space="preserve">los tubos </w:t>
      </w:r>
      <w:r>
        <w:t>de PRFV a emplear en las redes de saneamiento son diferentes, en función del funcionamiento hidráulico de la red y se clasifican de la siguiente manera:</w:t>
      </w:r>
    </w:p>
    <w:p w:rsidR="00C7085E" w:rsidRDefault="00C7085E" w:rsidP="00B71B1A">
      <w:pPr>
        <w:widowControl/>
        <w:numPr>
          <w:ilvl w:val="0"/>
          <w:numId w:val="12"/>
        </w:numPr>
        <w:suppressAutoHyphens/>
        <w:spacing w:before="120" w:after="240" w:line="276" w:lineRule="auto"/>
        <w:ind w:right="-285"/>
      </w:pPr>
      <w:r>
        <w:t>Tubos cuyo funcionamiento hidráulico sea por gravedad</w:t>
      </w:r>
    </w:p>
    <w:p w:rsidR="00C7085E" w:rsidRDefault="00C7085E" w:rsidP="00B71B1A">
      <w:pPr>
        <w:tabs>
          <w:tab w:val="left" w:pos="426"/>
        </w:tabs>
        <w:spacing w:before="120" w:after="240" w:line="276" w:lineRule="auto"/>
        <w:ind w:left="425" w:right="-285"/>
        <w:rPr>
          <w:bCs/>
        </w:rPr>
      </w:pPr>
      <w:r>
        <w:rPr>
          <w:bCs/>
        </w:rPr>
        <w:t>Se clasificarán por su diámetro nominal (DN) y por su rigidez nominal (SN).</w:t>
      </w:r>
    </w:p>
    <w:p w:rsidR="00C7085E" w:rsidRDefault="00C7085E" w:rsidP="00B71B1A">
      <w:pPr>
        <w:widowControl/>
        <w:numPr>
          <w:ilvl w:val="0"/>
          <w:numId w:val="8"/>
        </w:numPr>
        <w:suppressAutoHyphens/>
        <w:spacing w:before="120" w:after="240" w:line="276" w:lineRule="auto"/>
        <w:ind w:right="-285"/>
      </w:pPr>
      <w:r>
        <w:t>Tubos cuyo funcionamiento hidráulico sea por impulsión</w:t>
      </w:r>
    </w:p>
    <w:p w:rsidR="00C7085E" w:rsidRDefault="00C7085E" w:rsidP="00B71B1A">
      <w:pPr>
        <w:tabs>
          <w:tab w:val="left" w:pos="426"/>
        </w:tabs>
        <w:spacing w:before="120" w:after="240" w:line="276" w:lineRule="auto"/>
        <w:ind w:left="425" w:right="-285"/>
        <w:rPr>
          <w:bCs/>
        </w:rPr>
      </w:pPr>
      <w:r>
        <w:rPr>
          <w:bCs/>
        </w:rPr>
        <w:t>Se clasificarán por su diámetro nominal (DN), por su rigidez nominal (SN) y por su presión nominal (PN).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bCs w:val="0"/>
        </w:rPr>
      </w:pPr>
      <w:r>
        <w:t xml:space="preserve">Materiales </w:t>
      </w:r>
    </w:p>
    <w:p w:rsidR="00C7085E" w:rsidRDefault="00C7085E" w:rsidP="00B71B1A">
      <w:pPr>
        <w:spacing w:before="120" w:after="240" w:line="276" w:lineRule="auto"/>
        <w:ind w:right="-285"/>
      </w:pPr>
      <w:r>
        <w:t>Los tubos de PRFV para redes de saneamiento deberán cumplir con lo especificado en la norma UNE-EN 14364.</w:t>
      </w:r>
    </w:p>
    <w:p w:rsidR="00C7085E" w:rsidRDefault="00C7085E" w:rsidP="00B71B1A">
      <w:pPr>
        <w:spacing w:before="120" w:after="240" w:line="276" w:lineRule="auto"/>
        <w:ind w:right="-285"/>
        <w:jc w:val="left"/>
        <w:rPr>
          <w:bCs/>
        </w:rPr>
      </w:pPr>
      <w:r>
        <w:rPr>
          <w:bCs/>
        </w:rPr>
        <w:t>Las características físicas de los tubos de PRFV a corto plazo deben ser, como mínimo, las indicadas en la siguiente 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20" w:type="dxa"/>
          <w:right w:w="120" w:type="dxa"/>
        </w:tblCellMar>
        <w:tblLook w:val="04A0" w:firstRow="1" w:lastRow="0" w:firstColumn="1" w:lastColumn="0" w:noHBand="0" w:noVBand="1"/>
      </w:tblPr>
      <w:tblGrid>
        <w:gridCol w:w="3180"/>
        <w:gridCol w:w="5811"/>
      </w:tblGrid>
      <w:tr w:rsidR="00C7085E" w:rsidTr="00C7085E">
        <w:trPr>
          <w:cantSplit/>
          <w:jc w:val="center"/>
        </w:trPr>
        <w:tc>
          <w:tcPr>
            <w:tcW w:w="3180" w:type="dxa"/>
            <w:tcBorders>
              <w:top w:val="single" w:sz="4" w:space="0" w:color="000000"/>
              <w:left w:val="single" w:sz="4" w:space="0" w:color="000000"/>
              <w:bottom w:val="single" w:sz="4" w:space="0" w:color="000000"/>
              <w:right w:val="single" w:sz="4" w:space="0" w:color="000000"/>
            </w:tcBorders>
            <w:hideMark/>
          </w:tcPr>
          <w:p w:rsidR="00C7085E" w:rsidRDefault="00C7085E" w:rsidP="00B71B1A">
            <w:pPr>
              <w:spacing w:before="120" w:after="240" w:line="276" w:lineRule="auto"/>
              <w:ind w:right="-285"/>
              <w:jc w:val="center"/>
              <w:rPr>
                <w:rFonts w:cs="Arial"/>
                <w:b/>
                <w:bCs/>
                <w:spacing w:val="-2"/>
                <w:szCs w:val="20"/>
              </w:rPr>
            </w:pPr>
            <w:r>
              <w:rPr>
                <w:rFonts w:cs="Arial"/>
                <w:b/>
                <w:bCs/>
                <w:spacing w:val="-2"/>
                <w:szCs w:val="20"/>
              </w:rPr>
              <w:lastRenderedPageBreak/>
              <w:t>Característica</w:t>
            </w:r>
          </w:p>
        </w:tc>
        <w:tc>
          <w:tcPr>
            <w:tcW w:w="5811" w:type="dxa"/>
            <w:tcBorders>
              <w:top w:val="single" w:sz="4" w:space="0" w:color="000000"/>
              <w:left w:val="single" w:sz="4" w:space="0" w:color="000000"/>
              <w:bottom w:val="single" w:sz="4" w:space="0" w:color="000000"/>
              <w:right w:val="single" w:sz="4" w:space="0" w:color="000000"/>
            </w:tcBorders>
            <w:hideMark/>
          </w:tcPr>
          <w:p w:rsidR="00C7085E" w:rsidRDefault="00C7085E" w:rsidP="00B71B1A">
            <w:pPr>
              <w:spacing w:before="120" w:after="240" w:line="276" w:lineRule="auto"/>
              <w:ind w:right="-285"/>
              <w:jc w:val="center"/>
              <w:rPr>
                <w:rFonts w:cs="Arial"/>
                <w:b/>
                <w:bCs/>
                <w:spacing w:val="-2"/>
                <w:szCs w:val="20"/>
              </w:rPr>
            </w:pPr>
            <w:r>
              <w:rPr>
                <w:rFonts w:cs="Arial"/>
                <w:b/>
                <w:bCs/>
                <w:spacing w:val="-2"/>
                <w:szCs w:val="20"/>
              </w:rPr>
              <w:t>Valor</w:t>
            </w:r>
          </w:p>
        </w:tc>
      </w:tr>
      <w:tr w:rsidR="00C7085E" w:rsidTr="00C7085E">
        <w:trPr>
          <w:cantSplit/>
          <w:trHeight w:val="530"/>
          <w:jc w:val="center"/>
        </w:trPr>
        <w:tc>
          <w:tcPr>
            <w:tcW w:w="3180" w:type="dxa"/>
            <w:tcBorders>
              <w:top w:val="single" w:sz="4" w:space="0" w:color="000000"/>
              <w:left w:val="single" w:sz="4" w:space="0" w:color="000000"/>
              <w:bottom w:val="single" w:sz="4" w:space="0" w:color="000000"/>
              <w:right w:val="single" w:sz="4" w:space="0" w:color="000000"/>
            </w:tcBorders>
            <w:vAlign w:val="center"/>
            <w:hideMark/>
          </w:tcPr>
          <w:p w:rsidR="00C7085E" w:rsidRDefault="00C7085E" w:rsidP="00B71B1A">
            <w:pPr>
              <w:spacing w:before="120" w:after="240" w:line="276" w:lineRule="auto"/>
              <w:ind w:right="-285"/>
              <w:jc w:val="left"/>
              <w:rPr>
                <w:rFonts w:cs="Arial"/>
                <w:bCs/>
                <w:spacing w:val="-2"/>
                <w:szCs w:val="20"/>
              </w:rPr>
            </w:pPr>
            <w:r>
              <w:rPr>
                <w:rFonts w:cs="Arial"/>
                <w:bCs/>
                <w:spacing w:val="-2"/>
                <w:szCs w:val="20"/>
              </w:rPr>
              <w:t>Contenido en fibra de vidrio</w:t>
            </w:r>
          </w:p>
          <w:p w:rsidR="00C7085E" w:rsidRDefault="00C7085E" w:rsidP="00B71B1A">
            <w:pPr>
              <w:spacing w:before="120" w:after="240" w:line="276" w:lineRule="auto"/>
              <w:ind w:right="-285"/>
              <w:jc w:val="left"/>
              <w:rPr>
                <w:rFonts w:cs="Arial"/>
                <w:bCs/>
                <w:spacing w:val="-2"/>
                <w:szCs w:val="20"/>
              </w:rPr>
            </w:pPr>
            <w:r>
              <w:rPr>
                <w:rFonts w:cs="Arial"/>
                <w:bCs/>
                <w:spacing w:val="-2"/>
                <w:szCs w:val="20"/>
              </w:rPr>
              <w:t>Tamaño máximo de los áridos</w:t>
            </w:r>
          </w:p>
        </w:tc>
        <w:tc>
          <w:tcPr>
            <w:tcW w:w="5811" w:type="dxa"/>
            <w:tcBorders>
              <w:top w:val="single" w:sz="4" w:space="0" w:color="000000"/>
              <w:left w:val="single" w:sz="4" w:space="0" w:color="000000"/>
              <w:bottom w:val="single" w:sz="4" w:space="0" w:color="000000"/>
              <w:right w:val="single" w:sz="4" w:space="0" w:color="000000"/>
            </w:tcBorders>
            <w:vAlign w:val="center"/>
            <w:hideMark/>
          </w:tcPr>
          <w:p w:rsidR="00C7085E" w:rsidRDefault="00C7085E" w:rsidP="00B71B1A">
            <w:pPr>
              <w:spacing w:before="120" w:after="240" w:line="276" w:lineRule="auto"/>
              <w:ind w:right="-285"/>
              <w:jc w:val="center"/>
              <w:rPr>
                <w:rFonts w:cs="Arial"/>
                <w:bCs/>
                <w:spacing w:val="-2"/>
                <w:szCs w:val="20"/>
              </w:rPr>
            </w:pPr>
            <w:r>
              <w:rPr>
                <w:rFonts w:cs="Arial"/>
                <w:bCs/>
                <w:spacing w:val="-2"/>
                <w:szCs w:val="20"/>
              </w:rPr>
              <w:t>&gt; 15% en peso</w:t>
            </w:r>
          </w:p>
          <w:p w:rsidR="00C7085E" w:rsidRDefault="00C7085E" w:rsidP="00B71B1A">
            <w:pPr>
              <w:spacing w:before="120" w:after="240" w:line="276" w:lineRule="auto"/>
              <w:ind w:right="-285"/>
              <w:jc w:val="center"/>
              <w:rPr>
                <w:rFonts w:cs="Arial"/>
                <w:bCs/>
                <w:spacing w:val="-2"/>
                <w:szCs w:val="20"/>
              </w:rPr>
            </w:pPr>
            <w:r>
              <w:rPr>
                <w:rFonts w:cs="Arial"/>
                <w:bCs/>
                <w:spacing w:val="-2"/>
                <w:szCs w:val="20"/>
              </w:rPr>
              <w:t>Mínimo(&lt; 20% del espesor total de la pared o de 2,5 mm)</w:t>
            </w:r>
          </w:p>
        </w:tc>
      </w:tr>
    </w:tbl>
    <w:p w:rsidR="00C7085E" w:rsidRDefault="00C7085E" w:rsidP="00B71B1A">
      <w:pPr>
        <w:pStyle w:val="Tabla"/>
        <w:spacing w:before="120" w:line="276" w:lineRule="auto"/>
        <w:ind w:left="1077" w:right="-285" w:hanging="357"/>
      </w:pPr>
      <w:bookmarkStart w:id="179" w:name="_Ref393450268"/>
      <w:bookmarkStart w:id="180" w:name="_Ref118703592"/>
      <w:r>
        <w:t>Características de los tubos de PRFV a corto plazo (UNE-EN 14364)</w:t>
      </w:r>
      <w:bookmarkEnd w:id="179"/>
      <w:bookmarkEnd w:id="180"/>
    </w:p>
    <w:p w:rsidR="00C7085E" w:rsidRDefault="00C7085E" w:rsidP="00B71B1A">
      <w:pPr>
        <w:spacing w:before="120" w:after="240" w:line="276" w:lineRule="auto"/>
        <w:ind w:right="-285"/>
      </w:pPr>
      <w:r>
        <w:t>Los tubos de PRFV deberán cumplir, además, con las siguientes características mecánicas:</w:t>
      </w:r>
    </w:p>
    <w:p w:rsidR="00C7085E" w:rsidRDefault="00C7085E" w:rsidP="00B71B1A">
      <w:pPr>
        <w:widowControl/>
        <w:numPr>
          <w:ilvl w:val="0"/>
          <w:numId w:val="8"/>
        </w:numPr>
        <w:suppressAutoHyphens/>
        <w:spacing w:before="120" w:after="240" w:line="276" w:lineRule="auto"/>
        <w:ind w:left="714" w:right="-285" w:hanging="357"/>
      </w:pPr>
      <w:r>
        <w:rPr>
          <w:bCs/>
        </w:rPr>
        <w:t>La rigidez a corto plazo (S</w:t>
      </w:r>
      <w:r>
        <w:rPr>
          <w:bCs/>
          <w:vertAlign w:val="subscript"/>
        </w:rPr>
        <w:t>0</w:t>
      </w:r>
      <w:r>
        <w:rPr>
          <w:bCs/>
        </w:rPr>
        <w:t>) deberá ser al menos el valor de la SN, mientras que la rigidez a los 50 años del tubo (S</w:t>
      </w:r>
      <w:r>
        <w:rPr>
          <w:bCs/>
          <w:vertAlign w:val="subscript"/>
        </w:rPr>
        <w:t>50</w:t>
      </w:r>
      <w:r>
        <w:rPr>
          <w:bCs/>
        </w:rPr>
        <w:t xml:space="preserve">) deberá ser declarada por el fabricante. </w:t>
      </w:r>
    </w:p>
    <w:p w:rsidR="00C7085E" w:rsidRDefault="00C7085E" w:rsidP="00B71B1A">
      <w:pPr>
        <w:widowControl/>
        <w:numPr>
          <w:ilvl w:val="0"/>
          <w:numId w:val="12"/>
        </w:numPr>
        <w:suppressAutoHyphens/>
        <w:spacing w:before="120" w:after="240" w:line="276" w:lineRule="auto"/>
        <w:ind w:left="714" w:right="-285" w:hanging="357"/>
      </w:pPr>
      <w:r>
        <w:rPr>
          <w:bCs/>
        </w:rPr>
        <w:t>La resistencia a la tracción de la parte estructural del tubo, tanto a corto como a largo plazo (</w:t>
      </w:r>
      <w:r>
        <w:rPr>
          <w:bCs/>
        </w:rPr>
        <w:sym w:font="Symbol" w:char="F073"/>
      </w:r>
      <w:r>
        <w:rPr>
          <w:bCs/>
          <w:vertAlign w:val="subscript"/>
        </w:rPr>
        <w:t>r</w:t>
      </w:r>
      <w:proofErr w:type="gramStart"/>
      <w:r>
        <w:rPr>
          <w:bCs/>
          <w:vertAlign w:val="subscript"/>
        </w:rPr>
        <w:t>,0</w:t>
      </w:r>
      <w:proofErr w:type="gramEnd"/>
      <w:r>
        <w:rPr>
          <w:bCs/>
        </w:rPr>
        <w:t xml:space="preserve"> y </w:t>
      </w:r>
      <w:r>
        <w:rPr>
          <w:bCs/>
        </w:rPr>
        <w:sym w:font="Symbol" w:char="F073"/>
      </w:r>
      <w:r>
        <w:rPr>
          <w:bCs/>
          <w:vertAlign w:val="subscript"/>
        </w:rPr>
        <w:t>r,50</w:t>
      </w:r>
      <w:r>
        <w:rPr>
          <w:bCs/>
        </w:rPr>
        <w:t xml:space="preserve">, respectivamente) también deberá ser declarada oportunamente por el fabricante. </w:t>
      </w:r>
    </w:p>
    <w:p w:rsidR="00C7085E" w:rsidRDefault="00C7085E" w:rsidP="00B71B1A">
      <w:pPr>
        <w:widowControl/>
        <w:numPr>
          <w:ilvl w:val="0"/>
          <w:numId w:val="12"/>
        </w:numPr>
        <w:suppressAutoHyphens/>
        <w:spacing w:before="120" w:after="240" w:line="276" w:lineRule="auto"/>
        <w:ind w:left="714" w:right="-285" w:hanging="357"/>
      </w:pPr>
      <w:r>
        <w:t>El valor medio del alargamiento a la rotura no deberá ser inferior al cero con veinticinco por ciento (0,25 %).</w:t>
      </w:r>
    </w:p>
    <w:p w:rsidR="00C7085E" w:rsidRDefault="00C7085E" w:rsidP="00B71B1A">
      <w:pPr>
        <w:widowControl/>
        <w:numPr>
          <w:ilvl w:val="0"/>
          <w:numId w:val="12"/>
        </w:numPr>
        <w:suppressAutoHyphens/>
        <w:spacing w:before="120" w:after="240" w:line="276" w:lineRule="auto"/>
        <w:ind w:left="714" w:right="-285" w:hanging="357"/>
        <w:rPr>
          <w:bCs/>
        </w:rPr>
      </w:pPr>
      <w:r>
        <w:rPr>
          <w:bCs/>
        </w:rPr>
        <w:t>La resistencia inicial específica en tracción longitudinal, su valor vendrá dado por la siguiente expresión:</w:t>
      </w:r>
    </w:p>
    <w:p w:rsidR="00C7085E" w:rsidRDefault="00C7085E" w:rsidP="00B71B1A">
      <w:pPr>
        <w:pStyle w:val="Sangranormal"/>
        <w:spacing w:before="120" w:line="276" w:lineRule="auto"/>
        <w:ind w:left="0" w:right="-285"/>
        <w:jc w:val="center"/>
        <w:rPr>
          <w:lang w:val="es-ES_tradnl"/>
        </w:rPr>
      </w:pPr>
      <w:r w:rsidRPr="0058461E">
        <w:rPr>
          <w:position w:val="-12"/>
          <w:lang w:val="es-ES_tradnl"/>
        </w:rPr>
        <w:object w:dxaOrig="160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22.5pt" o:ole="">
            <v:imagedata r:id="rId15" o:title=""/>
          </v:shape>
          <o:OLEObject Type="Embed" ProgID="Equation.3" ShapeID="_x0000_i1025" DrawAspect="Content" ObjectID="_1538298533" r:id="rId16"/>
        </w:object>
      </w:r>
    </w:p>
    <w:p w:rsidR="00C7085E" w:rsidRDefault="00C7085E" w:rsidP="00B71B1A">
      <w:pPr>
        <w:pStyle w:val="Sangranormal"/>
        <w:tabs>
          <w:tab w:val="clear" w:pos="709"/>
          <w:tab w:val="left" w:pos="993"/>
        </w:tabs>
        <w:spacing w:before="120" w:line="276" w:lineRule="auto"/>
        <w:ind w:left="357" w:right="-285"/>
        <w:rPr>
          <w:rFonts w:ascii="Arial" w:hAnsi="Arial"/>
          <w:szCs w:val="24"/>
          <w:lang w:val="es-ES_tradnl" w:eastAsia="es-ES_tradnl"/>
        </w:rPr>
      </w:pPr>
      <w:r>
        <w:rPr>
          <w:lang w:val="es-ES_tradnl"/>
        </w:rPr>
        <w:t>p</w:t>
      </w:r>
      <w:r>
        <w:rPr>
          <w:vertAlign w:val="subscript"/>
          <w:lang w:val="es-ES_tradnl"/>
        </w:rPr>
        <w:t>O</w:t>
      </w:r>
      <w:proofErr w:type="gramStart"/>
      <w:r>
        <w:rPr>
          <w:vertAlign w:val="subscript"/>
          <w:lang w:val="es-ES_tradnl"/>
        </w:rPr>
        <w:t>,d</w:t>
      </w:r>
      <w:proofErr w:type="gramEnd"/>
      <w:r>
        <w:rPr>
          <w:lang w:val="es-ES_tradnl"/>
        </w:rPr>
        <w:tab/>
      </w:r>
      <w:r>
        <w:rPr>
          <w:rFonts w:ascii="Arial" w:hAnsi="Arial"/>
          <w:szCs w:val="24"/>
          <w:lang w:val="es-ES_tradnl" w:eastAsia="es-ES_tradnl"/>
        </w:rPr>
        <w:t>presión de diseño, en bar</w:t>
      </w:r>
    </w:p>
    <w:p w:rsidR="00C7085E" w:rsidRDefault="00C7085E" w:rsidP="00B71B1A">
      <w:pPr>
        <w:tabs>
          <w:tab w:val="left" w:pos="993"/>
        </w:tabs>
        <w:spacing w:before="120" w:after="240" w:line="276" w:lineRule="auto"/>
        <w:ind w:left="357" w:right="-285"/>
        <w:rPr>
          <w:lang w:val="es-ES_tradnl" w:eastAsia="es-ES_tradnl"/>
        </w:rPr>
      </w:pPr>
      <w:r>
        <w:t>D</w:t>
      </w:r>
      <w:r>
        <w:rPr>
          <w:vertAlign w:val="subscript"/>
        </w:rPr>
        <w:t>m</w:t>
      </w:r>
      <w:r>
        <w:rPr>
          <w:vertAlign w:val="subscript"/>
        </w:rPr>
        <w:tab/>
      </w:r>
      <w:r>
        <w:t>diámetro medio del tubo, en m</w:t>
      </w:r>
    </w:p>
    <w:p w:rsidR="00C7085E" w:rsidRDefault="00C7085E" w:rsidP="00B71B1A">
      <w:pPr>
        <w:pStyle w:val="Sangranormal"/>
        <w:tabs>
          <w:tab w:val="clear" w:pos="709"/>
          <w:tab w:val="left" w:pos="993"/>
        </w:tabs>
        <w:spacing w:before="120" w:line="276" w:lineRule="auto"/>
        <w:ind w:left="357" w:right="-285"/>
        <w:rPr>
          <w:rFonts w:ascii="Arial" w:hAnsi="Arial"/>
          <w:szCs w:val="24"/>
          <w:lang w:val="es-ES_tradnl" w:eastAsia="es-ES_tradnl"/>
        </w:rPr>
      </w:pPr>
      <w:r>
        <w:rPr>
          <w:lang w:val="es-ES_tradnl"/>
        </w:rPr>
        <w:t>σ</w:t>
      </w:r>
      <w:r>
        <w:rPr>
          <w:vertAlign w:val="subscript"/>
          <w:lang w:val="es-ES_tradnl"/>
        </w:rPr>
        <w:t>1</w:t>
      </w:r>
      <w:r>
        <w:rPr>
          <w:vertAlign w:val="superscript"/>
          <w:lang w:val="es-ES_tradnl"/>
        </w:rPr>
        <w:t>*</w:t>
      </w:r>
      <w:r>
        <w:rPr>
          <w:vertAlign w:val="superscript"/>
          <w:lang w:val="es-ES_tradnl"/>
        </w:rPr>
        <w:tab/>
      </w:r>
      <w:r>
        <w:rPr>
          <w:rFonts w:ascii="Arial" w:hAnsi="Arial"/>
          <w:szCs w:val="24"/>
          <w:lang w:val="es-ES_tradnl" w:eastAsia="es-ES_tradnl"/>
        </w:rPr>
        <w:t>resistencia inicial específica en tracción longitudinal, en N</w:t>
      </w:r>
    </w:p>
    <w:p w:rsidR="00C7085E" w:rsidRDefault="00C7085E" w:rsidP="00B71B1A">
      <w:pPr>
        <w:spacing w:before="120" w:after="240" w:line="276" w:lineRule="auto"/>
        <w:ind w:right="-285"/>
        <w:rPr>
          <w:lang w:val="es-ES_tradnl" w:eastAsia="es-ES_tradnl"/>
        </w:rPr>
      </w:pPr>
      <w:r>
        <w:rPr>
          <w:bCs/>
        </w:rPr>
        <w:t xml:space="preserve">Las dimensiones normalizadas de los tubos de PRFV, así como los valores para DN, SN y PN, y sus posibles combinaciones, serán las indicadas en la </w:t>
      </w:r>
      <w:r>
        <w:t>UNE-EN 14364.</w:t>
      </w:r>
    </w:p>
    <w:p w:rsidR="00C7085E" w:rsidRDefault="00C7085E" w:rsidP="00B71B1A">
      <w:pPr>
        <w:spacing w:before="120" w:after="240" w:line="276" w:lineRule="auto"/>
        <w:ind w:right="-285"/>
      </w:pPr>
      <w:r>
        <w:t>Además, en la norma UNE-EN 14364 se prevén como diámetros nominales no convencionales los valores de 1.100, 1.300, 1.500, 1.700, 1.900, 2.100 ó 2.300 mm.</w:t>
      </w:r>
    </w:p>
    <w:p w:rsidR="00C7085E" w:rsidRDefault="00C7085E" w:rsidP="00B71B1A">
      <w:pPr>
        <w:spacing w:before="120" w:after="240" w:line="276" w:lineRule="auto"/>
        <w:ind w:right="-285"/>
      </w:pPr>
      <w:r>
        <w:t>Todos los tubos deberán ser marcados en fábrica con al menos las siguientes indicaciones:</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Nombre o marca del fabricante</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Referencia a la norma EN 14364</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Fecha de fabricación (mes y año)</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Diámetro nominal, DN</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lastRenderedPageBreak/>
        <w:t>Serie de diámetros (A, B1, B2, B3 o B4)</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Presión nominal, PN, en aplicaciones bajo presión hidráulica interior</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Rigidez nominal, SN</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Tipo de unión y si es resistente o no al esfuerzo axial</w:t>
      </w:r>
    </w:p>
    <w:p w:rsidR="00DF30E5" w:rsidRDefault="00C7085E" w:rsidP="00DF30E5">
      <w:pPr>
        <w:widowControl/>
        <w:numPr>
          <w:ilvl w:val="0"/>
          <w:numId w:val="12"/>
        </w:numPr>
        <w:suppressAutoHyphens/>
        <w:spacing w:before="120" w:after="240" w:line="276" w:lineRule="auto"/>
        <w:ind w:left="714" w:right="-285" w:hanging="357"/>
      </w:pPr>
      <w:r w:rsidRPr="00687E83">
        <w:rPr>
          <w:szCs w:val="22"/>
        </w:rPr>
        <w:t>Marca de Calidad, en su caso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De la misma manera que para los tubos de PRFV en redes de abastecimiento y redes de reutilización, deberá prestarse especial atención al transporte, almacenamiento y manipulación de estos tubos para evitar cualquier daño en los mismos.</w:t>
      </w:r>
    </w:p>
    <w:p w:rsidR="00C7085E" w:rsidRDefault="00C7085E" w:rsidP="00B71B1A">
      <w:pPr>
        <w:spacing w:before="120" w:after="240" w:line="276" w:lineRule="auto"/>
        <w:ind w:right="-285"/>
      </w:pPr>
      <w:r>
        <w:t>Para el transporte de los tubos, también en desplazamientos interiores, se acondicionarán cunas que acopladas al vehículo, garanticen su inmovilidad y eviten el contacto de unos con otros, siendo imprescindible la sujeción de los tubos al vehículo por medio de bandas textiles adecuadas.</w:t>
      </w:r>
    </w:p>
    <w:p w:rsidR="00C7085E" w:rsidRDefault="00C7085E" w:rsidP="00B71B1A">
      <w:pPr>
        <w:spacing w:before="120" w:after="240" w:line="276" w:lineRule="auto"/>
        <w:ind w:right="-285"/>
      </w:pPr>
      <w:r>
        <w:t>Los tubos se almacenarán tomando las medidas necesarias para que no sean dañados por piedras u otros salientes del terreno. El acopio de los tubos se hará en posición horizontal, sujetos mediante calzos de madera u otros dispositivos que garanticen su inmovilidad.</w:t>
      </w:r>
    </w:p>
    <w:p w:rsidR="00C7085E" w:rsidRDefault="00C7085E" w:rsidP="00B71B1A">
      <w:pPr>
        <w:spacing w:before="120" w:after="240" w:line="276" w:lineRule="auto"/>
        <w:ind w:right="-285"/>
        <w:rPr>
          <w:bCs/>
        </w:rPr>
      </w:pPr>
      <w:r>
        <w:t xml:space="preserve">Los sistemas de unión de </w:t>
      </w:r>
      <w:r>
        <w:rPr>
          <w:bCs/>
        </w:rPr>
        <w:t xml:space="preserve">los tubos </w:t>
      </w:r>
      <w:r>
        <w:t>de PRFV para redes de saneamiento podrán ser alguno de los siguientes:</w:t>
      </w:r>
    </w:p>
    <w:p w:rsidR="00C7085E" w:rsidRDefault="00C7085E" w:rsidP="00B71B1A">
      <w:pPr>
        <w:widowControl/>
        <w:numPr>
          <w:ilvl w:val="0"/>
          <w:numId w:val="12"/>
        </w:numPr>
        <w:suppressAutoHyphens/>
        <w:spacing w:before="120" w:after="240" w:line="276" w:lineRule="auto"/>
        <w:ind w:right="-285"/>
      </w:pPr>
      <w:r>
        <w:t>Uniones rígidas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Con bridas (fijas o móviles)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Encoladas (o pegadas)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Vendadas a tope (o laminadas)</w:t>
      </w:r>
    </w:p>
    <w:p w:rsidR="00C7085E" w:rsidRDefault="00C7085E" w:rsidP="00B71B1A">
      <w:pPr>
        <w:widowControl/>
        <w:numPr>
          <w:ilvl w:val="0"/>
          <w:numId w:val="12"/>
        </w:numPr>
        <w:suppressAutoHyphens/>
        <w:spacing w:before="120" w:after="240" w:line="276" w:lineRule="auto"/>
        <w:ind w:right="-285"/>
        <w:rPr>
          <w:rFonts w:cs="Arial"/>
          <w:lang w:val="es-ES_tradnl"/>
        </w:rPr>
      </w:pPr>
      <w:r>
        <w:rPr>
          <w:rFonts w:cs="Arial"/>
        </w:rPr>
        <w:t>Uniones flexibles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Con enchufe y extremo liso con anillo elastomérico (en ocasiones es un doble anillo)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Con manguitos y elemento de estanquidad (también doble anillo)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Autotrabada, cuando se prevean esfuerzos de tracción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Control de calidad</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Será de aplicación lo especificado en la norma en UNE-EN 14364.</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lastRenderedPageBreak/>
        <w:t>Cuando las uniones sean flexibles la desviación angular admisible no deberá ser inferior a los valores indicados en la siguiente tabla:</w:t>
      </w:r>
    </w:p>
    <w:tbl>
      <w:tblPr>
        <w:tblW w:w="0" w:type="auto"/>
        <w:jc w:val="center"/>
        <w:tblBorders>
          <w:top w:val="single" w:sz="4" w:space="0" w:color="auto"/>
          <w:bottom w:val="single" w:sz="4" w:space="0" w:color="auto"/>
        </w:tblBorders>
        <w:tblLook w:val="01E0" w:firstRow="1" w:lastRow="1" w:firstColumn="1" w:lastColumn="1" w:noHBand="0" w:noVBand="0"/>
      </w:tblPr>
      <w:tblGrid>
        <w:gridCol w:w="1985"/>
        <w:gridCol w:w="3368"/>
      </w:tblGrid>
      <w:tr w:rsidR="00C7085E" w:rsidTr="00C7085E">
        <w:trPr>
          <w:trHeight w:val="412"/>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rPr>
                <w:b/>
                <w:szCs w:val="20"/>
              </w:rPr>
            </w:pPr>
            <w:r>
              <w:rPr>
                <w:b/>
                <w:szCs w:val="20"/>
              </w:rPr>
              <w:t>DN</w:t>
            </w:r>
          </w:p>
        </w:tc>
        <w:tc>
          <w:tcPr>
            <w:tcW w:w="3368"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rPr>
                <w:b/>
                <w:szCs w:val="20"/>
              </w:rPr>
            </w:pPr>
            <w:r>
              <w:rPr>
                <w:b/>
                <w:szCs w:val="20"/>
              </w:rPr>
              <w:t>Desviación angular mínima</w:t>
            </w:r>
          </w:p>
        </w:tc>
      </w:tr>
      <w:tr w:rsidR="00C7085E" w:rsidTr="00C7085E">
        <w:trPr>
          <w:jc w:val="center"/>
        </w:trPr>
        <w:tc>
          <w:tcPr>
            <w:tcW w:w="1985" w:type="dxa"/>
            <w:tcBorders>
              <w:top w:val="single" w:sz="4" w:space="0" w:color="auto"/>
              <w:left w:val="single" w:sz="4" w:space="0" w:color="auto"/>
              <w:bottom w:val="nil"/>
              <w:right w:val="single" w:sz="4" w:space="0" w:color="auto"/>
            </w:tcBorders>
            <w:vAlign w:val="center"/>
            <w:hideMark/>
          </w:tcPr>
          <w:p w:rsidR="00C7085E" w:rsidRDefault="00C7085E" w:rsidP="00B71B1A">
            <w:pPr>
              <w:spacing w:before="120" w:after="240" w:line="276" w:lineRule="auto"/>
              <w:ind w:right="-285"/>
              <w:jc w:val="center"/>
              <w:rPr>
                <w:szCs w:val="20"/>
              </w:rPr>
            </w:pPr>
            <w:r>
              <w:rPr>
                <w:szCs w:val="20"/>
              </w:rPr>
              <w:t xml:space="preserve">DN </w:t>
            </w:r>
            <w:r>
              <w:rPr>
                <w:rFonts w:cs="Arial"/>
                <w:szCs w:val="20"/>
              </w:rPr>
              <w:t>≤</w:t>
            </w:r>
            <w:r>
              <w:rPr>
                <w:szCs w:val="20"/>
              </w:rPr>
              <w:t xml:space="preserve"> 500</w:t>
            </w:r>
          </w:p>
        </w:tc>
        <w:tc>
          <w:tcPr>
            <w:tcW w:w="3368" w:type="dxa"/>
            <w:tcBorders>
              <w:top w:val="single" w:sz="4" w:space="0" w:color="auto"/>
              <w:left w:val="single" w:sz="4" w:space="0" w:color="auto"/>
              <w:bottom w:val="nil"/>
              <w:right w:val="single" w:sz="4" w:space="0" w:color="auto"/>
            </w:tcBorders>
            <w:vAlign w:val="center"/>
            <w:hideMark/>
          </w:tcPr>
          <w:p w:rsidR="00C7085E" w:rsidRDefault="00C7085E" w:rsidP="00B71B1A">
            <w:pPr>
              <w:spacing w:before="120" w:after="240" w:line="276" w:lineRule="auto"/>
              <w:ind w:right="-285"/>
              <w:jc w:val="center"/>
              <w:rPr>
                <w:szCs w:val="20"/>
              </w:rPr>
            </w:pPr>
            <w:r>
              <w:rPr>
                <w:szCs w:val="20"/>
              </w:rPr>
              <w:t>3º</w:t>
            </w:r>
          </w:p>
        </w:tc>
      </w:tr>
      <w:tr w:rsidR="00C7085E" w:rsidTr="00C7085E">
        <w:trPr>
          <w:jc w:val="center"/>
        </w:trPr>
        <w:tc>
          <w:tcPr>
            <w:tcW w:w="1985" w:type="dxa"/>
            <w:tcBorders>
              <w:top w:val="nil"/>
              <w:left w:val="single" w:sz="4" w:space="0" w:color="auto"/>
              <w:bottom w:val="nil"/>
              <w:right w:val="single" w:sz="4" w:space="0" w:color="auto"/>
            </w:tcBorders>
            <w:vAlign w:val="center"/>
            <w:hideMark/>
          </w:tcPr>
          <w:p w:rsidR="00C7085E" w:rsidRDefault="00C7085E" w:rsidP="00B71B1A">
            <w:pPr>
              <w:spacing w:before="120" w:after="240" w:line="276" w:lineRule="auto"/>
              <w:ind w:right="-285"/>
              <w:jc w:val="center"/>
              <w:rPr>
                <w:szCs w:val="20"/>
              </w:rPr>
            </w:pPr>
            <w:r>
              <w:rPr>
                <w:szCs w:val="20"/>
              </w:rPr>
              <w:t>500 &lt; DN &lt; 900</w:t>
            </w:r>
          </w:p>
        </w:tc>
        <w:tc>
          <w:tcPr>
            <w:tcW w:w="3368" w:type="dxa"/>
            <w:tcBorders>
              <w:top w:val="nil"/>
              <w:left w:val="single" w:sz="4" w:space="0" w:color="auto"/>
              <w:bottom w:val="nil"/>
              <w:right w:val="single" w:sz="4" w:space="0" w:color="auto"/>
            </w:tcBorders>
            <w:vAlign w:val="center"/>
            <w:hideMark/>
          </w:tcPr>
          <w:p w:rsidR="00C7085E" w:rsidRDefault="00C7085E" w:rsidP="00B71B1A">
            <w:pPr>
              <w:spacing w:before="120" w:after="240" w:line="276" w:lineRule="auto"/>
              <w:ind w:right="-285"/>
              <w:jc w:val="center"/>
              <w:rPr>
                <w:szCs w:val="20"/>
              </w:rPr>
            </w:pPr>
            <w:r>
              <w:rPr>
                <w:szCs w:val="20"/>
              </w:rPr>
              <w:t>2º</w:t>
            </w:r>
          </w:p>
        </w:tc>
      </w:tr>
      <w:tr w:rsidR="00C7085E" w:rsidTr="00C7085E">
        <w:trPr>
          <w:jc w:val="center"/>
        </w:trPr>
        <w:tc>
          <w:tcPr>
            <w:tcW w:w="1985" w:type="dxa"/>
            <w:tcBorders>
              <w:top w:val="nil"/>
              <w:left w:val="single" w:sz="4" w:space="0" w:color="auto"/>
              <w:bottom w:val="nil"/>
              <w:right w:val="single" w:sz="4" w:space="0" w:color="auto"/>
            </w:tcBorders>
            <w:vAlign w:val="center"/>
            <w:hideMark/>
          </w:tcPr>
          <w:p w:rsidR="00C7085E" w:rsidRDefault="00C7085E" w:rsidP="00B71B1A">
            <w:pPr>
              <w:spacing w:before="120" w:after="240" w:line="276" w:lineRule="auto"/>
              <w:ind w:right="-285"/>
              <w:jc w:val="center"/>
              <w:rPr>
                <w:szCs w:val="20"/>
              </w:rPr>
            </w:pPr>
            <w:r>
              <w:rPr>
                <w:szCs w:val="20"/>
              </w:rPr>
              <w:t>900 &lt; DN &lt; 1800</w:t>
            </w:r>
          </w:p>
        </w:tc>
        <w:tc>
          <w:tcPr>
            <w:tcW w:w="3368" w:type="dxa"/>
            <w:tcBorders>
              <w:top w:val="nil"/>
              <w:left w:val="single" w:sz="4" w:space="0" w:color="auto"/>
              <w:bottom w:val="nil"/>
              <w:right w:val="single" w:sz="4" w:space="0" w:color="auto"/>
            </w:tcBorders>
            <w:vAlign w:val="center"/>
            <w:hideMark/>
          </w:tcPr>
          <w:p w:rsidR="00C7085E" w:rsidRDefault="00C7085E" w:rsidP="00B71B1A">
            <w:pPr>
              <w:spacing w:before="120" w:after="240" w:line="276" w:lineRule="auto"/>
              <w:ind w:right="-285"/>
              <w:jc w:val="center"/>
              <w:rPr>
                <w:szCs w:val="20"/>
              </w:rPr>
            </w:pPr>
            <w:r>
              <w:rPr>
                <w:szCs w:val="20"/>
              </w:rPr>
              <w:t>1º</w:t>
            </w:r>
          </w:p>
        </w:tc>
      </w:tr>
      <w:tr w:rsidR="00C7085E" w:rsidTr="00C7085E">
        <w:trPr>
          <w:jc w:val="center"/>
        </w:trPr>
        <w:tc>
          <w:tcPr>
            <w:tcW w:w="1985" w:type="dxa"/>
            <w:tcBorders>
              <w:top w:val="nil"/>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rPr>
                <w:szCs w:val="20"/>
              </w:rPr>
            </w:pPr>
            <w:r>
              <w:rPr>
                <w:szCs w:val="20"/>
              </w:rPr>
              <w:t>DN &gt; 1800</w:t>
            </w:r>
          </w:p>
        </w:tc>
        <w:tc>
          <w:tcPr>
            <w:tcW w:w="3368" w:type="dxa"/>
            <w:tcBorders>
              <w:top w:val="nil"/>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rPr>
                <w:szCs w:val="20"/>
              </w:rPr>
            </w:pPr>
            <w:r>
              <w:rPr>
                <w:szCs w:val="20"/>
              </w:rPr>
              <w:t>0,5º</w:t>
            </w:r>
          </w:p>
        </w:tc>
      </w:tr>
    </w:tbl>
    <w:p w:rsidR="00C7085E" w:rsidRDefault="00C7085E" w:rsidP="00B71B1A">
      <w:pPr>
        <w:pStyle w:val="Tabla"/>
        <w:spacing w:before="120" w:line="276" w:lineRule="auto"/>
        <w:ind w:right="-285"/>
      </w:pPr>
      <w:r>
        <w:t>Desviación angular admisible de las uniones flexibles</w:t>
      </w:r>
    </w:p>
    <w:p w:rsidR="00C7085E" w:rsidRDefault="00C7085E" w:rsidP="00B71B1A">
      <w:pPr>
        <w:spacing w:before="120" w:after="240" w:line="276" w:lineRule="auto"/>
        <w:ind w:right="-285"/>
      </w:pPr>
      <w:r>
        <w:t>El movimiento axial no superará nunca el 0,3% de la longitud de los tubos a unir.</w:t>
      </w:r>
    </w:p>
    <w:p w:rsidR="00C7085E" w:rsidRDefault="00C7085E" w:rsidP="00B71B1A">
      <w:pPr>
        <w:spacing w:before="120" w:after="240" w:line="276" w:lineRule="auto"/>
        <w:ind w:right="-285"/>
      </w:pPr>
      <w:r>
        <w:t>Del número total de tubos suministrados en cada diámetro, el fabricante podrá entregar hasta un diez por ciento (10%) en longitudes más cortas. Las tolerancias sobre la longitud nominal de los tubos suministrados serán de más o menos sesenta milímetros (±60 mm).</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tuberías de PRFV para redes de saneamiento se medirán por metros (m) de conducción totalmente terminada y probada en obra.</w:t>
      </w:r>
    </w:p>
    <w:p w:rsidR="00C7085E" w:rsidRDefault="00C7085E" w:rsidP="00B71B1A">
      <w:pPr>
        <w:spacing w:before="120" w:after="240" w:line="276" w:lineRule="auto"/>
        <w:ind w:right="-285"/>
      </w:pPr>
      <w:r>
        <w:t>El precio al que se abonará cada tubería será el que corresponda a su uso, diámetro nominal, rigidez nominal y presión nominal, si procede, de los precios que figuren en el Cuadro de Precios vigente de Canal de Isabel II Gestión.</w:t>
      </w:r>
    </w:p>
    <w:p w:rsidR="00C7085E" w:rsidRDefault="00C7085E" w:rsidP="00B71B1A">
      <w:pPr>
        <w:spacing w:before="120" w:after="240" w:line="276" w:lineRule="auto"/>
        <w:ind w:right="-285"/>
      </w:pPr>
      <w:r>
        <w:t>En los precios se consideran incluidos la parte proporcional de junta de unión, los medios auxiliares y todas las pruebas necesarias para el correcto funcionamiento de la tubería.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81" w:name="_Toc414021799"/>
      <w:bookmarkStart w:id="182" w:name="_Toc448741421"/>
      <w:r>
        <w:t>Tubería de acero helicosoldada</w:t>
      </w:r>
      <w:bookmarkEnd w:id="181"/>
      <w:bookmarkEnd w:id="182"/>
    </w:p>
    <w:p w:rsidR="00C7085E" w:rsidRDefault="00C7085E" w:rsidP="00B71B1A">
      <w:pPr>
        <w:spacing w:before="120" w:after="240" w:line="276" w:lineRule="auto"/>
        <w:ind w:right="-285"/>
      </w:pPr>
      <w:r>
        <w:t>Las tuberías de acero helicosoldadas se emplearán en redes de abastecimiento y deberán cumplir con las especificaciones establecidas en la norma UNE-EN 10224: “</w:t>
      </w:r>
      <w:r>
        <w:rPr>
          <w:i/>
        </w:rPr>
        <w:t>Tubos y accesorios en acero no aleado para el transporte de líquidos acuosos, incluido agua para consumo humano. Condiciones técnicas de suministro”,</w:t>
      </w:r>
      <w:r>
        <w:t xml:space="preserve"> </w:t>
      </w:r>
    </w:p>
    <w:p w:rsidR="00C7085E" w:rsidRDefault="00C7085E" w:rsidP="00B71B1A">
      <w:pPr>
        <w:keepNext/>
        <w:keepLines/>
        <w:spacing w:before="120" w:after="240" w:line="276" w:lineRule="auto"/>
        <w:ind w:right="-285"/>
      </w:pPr>
      <w:r>
        <w:t>Podrán emplearse tuberías de acero en conducciones de diámetro nominal igual o superior a 813 mm hasta los 2.743 mm. La serie de diámetros normalizados a utilizar será:</w:t>
      </w:r>
    </w:p>
    <w:p w:rsidR="00C7085E" w:rsidRDefault="00C7085E" w:rsidP="00B71B1A">
      <w:pPr>
        <w:keepNext/>
        <w:keepLines/>
        <w:spacing w:before="120" w:after="240" w:line="276" w:lineRule="auto"/>
        <w:ind w:right="-285"/>
        <w:jc w:val="center"/>
      </w:pPr>
      <w:r>
        <w:t>813, 864, 914, 1.016, 1.067, 1.118, 1.168, 1.219, 1.321, 1.422, 1.524, 1.626, 1.727, 1.829, 1.930, 2.032, 2.134, 2.235, 2.337, 2.438, 2.540, 2.642 y 2.743</w:t>
      </w:r>
    </w:p>
    <w:p w:rsidR="00C7085E" w:rsidRDefault="00C7085E" w:rsidP="00B71B1A">
      <w:pPr>
        <w:spacing w:before="120" w:after="240" w:line="276" w:lineRule="auto"/>
        <w:ind w:right="-285"/>
      </w:pPr>
      <w:r>
        <w:t xml:space="preserve">Los tubos de acero se clasifican por su diámetro nominal (DN), refiriéndose éste a su </w:t>
      </w:r>
      <w:r>
        <w:lastRenderedPageBreak/>
        <w:t>diámetro exterior (OD), por el espesor nominal (e) y por el tipo de acero empleado definido por el valor de su límite elástico.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El acero empleado en la fabricación debe ser no aleado y completamente calmado, según se indica en la norma UNE-EN 10020. Además, será apto para el soldeo, según lo indicado en la norma UNE-EN 10025.</w:t>
      </w:r>
    </w:p>
    <w:p w:rsidR="00C7085E" w:rsidRDefault="00C7085E" w:rsidP="00B71B1A">
      <w:pPr>
        <w:spacing w:before="120" w:after="240" w:line="276" w:lineRule="auto"/>
        <w:ind w:right="-285"/>
      </w:pPr>
      <w:r>
        <w:t>De acuerdo con la norma UNE-EN 10224 se podrán utilizar los aceros L275 (S275) y L355 (S355).</w:t>
      </w:r>
    </w:p>
    <w:p w:rsidR="00C7085E" w:rsidRDefault="00C7085E" w:rsidP="00B71B1A">
      <w:pPr>
        <w:spacing w:before="120" w:after="240" w:line="276" w:lineRule="auto"/>
        <w:ind w:right="-285"/>
      </w:pPr>
      <w:r>
        <w:t>Las dimensiones de los tubos de acero (diámetros y espesores) están normalizadas según la norma UNE-EN 10224. La relación espesor/diámetro superará en todo caso el valor del ocho por mil (8‰).</w:t>
      </w:r>
    </w:p>
    <w:p w:rsidR="00C7085E" w:rsidRDefault="00C7085E" w:rsidP="00B71B1A">
      <w:pPr>
        <w:spacing w:before="120" w:after="240" w:line="276" w:lineRule="auto"/>
        <w:ind w:right="-285"/>
      </w:pPr>
      <w:r>
        <w:t xml:space="preserve">Los tubos de acero han de estar revestidos mediante protecciones frente a la corrosión. El interior de los tubos estará revestido con una capa de cuatrocientas micras (400 </w:t>
      </w:r>
      <w:r>
        <w:rPr>
          <w:rFonts w:cs="Arial"/>
        </w:rPr>
        <w:t>µ</w:t>
      </w:r>
      <w:r>
        <w:t xml:space="preserve">m) de pintura epoxi que cumpla la normativa sobre productos en contacto con agua para el consumo humano, con una preparación previa de la superficie a grado SA 2 </w:t>
      </w:r>
      <m:oMath>
        <m:f>
          <m:fPr>
            <m:ctrlPr>
              <w:rPr>
                <w:rFonts w:ascii="Cambria Math" w:hAnsi="Cambria Math"/>
                <w:i/>
                <w:lang w:val="es-ES_tradnl" w:eastAsia="es-ES_tradnl"/>
              </w:rPr>
            </m:ctrlPr>
          </m:fPr>
          <m:num>
            <m:r>
              <w:rPr>
                <w:rFonts w:ascii="Cambria Math" w:hAnsi="Cambria Math"/>
              </w:rPr>
              <m:t>1</m:t>
            </m:r>
          </m:num>
          <m:den>
            <m:r>
              <w:rPr>
                <w:rFonts w:ascii="Cambria Math" w:hAnsi="Cambria Math"/>
              </w:rPr>
              <m:t>2</m:t>
            </m:r>
          </m:den>
        </m:f>
      </m:oMath>
      <w:r>
        <w:t xml:space="preserve"> según la norma UNE-EN ISO 8501-1.</w:t>
      </w:r>
    </w:p>
    <w:p w:rsidR="00C7085E" w:rsidRDefault="00C7085E" w:rsidP="00B71B1A">
      <w:pPr>
        <w:spacing w:before="120" w:after="240" w:line="276" w:lineRule="auto"/>
        <w:ind w:right="-285"/>
      </w:pPr>
      <w:r>
        <w:t xml:space="preserve">El exterior de los tubos se protegerá con una capa de tres milímetros (3 mm) de polietileno extruido en caliente o con mil micras (1.000 </w:t>
      </w:r>
      <w:r>
        <w:rPr>
          <w:rFonts w:cs="Arial"/>
        </w:rPr>
        <w:t>µ</w:t>
      </w:r>
      <w:r>
        <w:t xml:space="preserve">m) de poliuretano, previa preparación de la superficie a grado SA 2 </w:t>
      </w:r>
      <m:oMath>
        <m:f>
          <m:fPr>
            <m:ctrlPr>
              <w:rPr>
                <w:rFonts w:ascii="Cambria Math" w:hAnsi="Cambria Math"/>
                <w:i/>
                <w:lang w:val="es-ES_tradnl" w:eastAsia="es-ES_tradnl"/>
              </w:rPr>
            </m:ctrlPr>
          </m:fPr>
          <m:num>
            <m:r>
              <w:rPr>
                <w:rFonts w:ascii="Cambria Math" w:hAnsi="Cambria Math"/>
              </w:rPr>
              <m:t>1</m:t>
            </m:r>
          </m:num>
          <m:den>
            <m:r>
              <w:rPr>
                <w:rFonts w:ascii="Cambria Math" w:hAnsi="Cambria Math"/>
              </w:rPr>
              <m:t>2</m:t>
            </m:r>
          </m:den>
        </m:f>
      </m:oMath>
      <w:r>
        <w:t xml:space="preserve"> según la norma UNE-EN ISO 8501-1. Los valores citados son espesores mínimos, debiendo cumplir lo especificado en las normas: AWWA C210, AWWA C222 y DIN 30670.</w:t>
      </w:r>
    </w:p>
    <w:p w:rsidR="00C7085E" w:rsidRDefault="00C7085E" w:rsidP="00B71B1A">
      <w:pPr>
        <w:tabs>
          <w:tab w:val="left" w:pos="2428"/>
        </w:tabs>
        <w:spacing w:before="120" w:after="240" w:line="276" w:lineRule="auto"/>
        <w:ind w:right="-285"/>
      </w:pPr>
      <w:r>
        <w:t>Todos los tubos deberán ir marcados, de forma fácilmente legible y durable, con la siguiente información en la secuencia indicada:</w:t>
      </w:r>
    </w:p>
    <w:p w:rsidR="00C7085E" w:rsidRDefault="00C7085E" w:rsidP="00B71B1A">
      <w:pPr>
        <w:widowControl/>
        <w:numPr>
          <w:ilvl w:val="0"/>
          <w:numId w:val="12"/>
        </w:numPr>
        <w:suppressAutoHyphens/>
        <w:spacing w:before="120" w:after="240" w:line="276" w:lineRule="auto"/>
        <w:ind w:right="-285"/>
        <w:rPr>
          <w:szCs w:val="22"/>
        </w:rPr>
      </w:pPr>
      <w:r>
        <w:rPr>
          <w:szCs w:val="22"/>
        </w:rPr>
        <w:t>Nombre del fabricante o marca de identificación.</w:t>
      </w:r>
    </w:p>
    <w:p w:rsidR="00C7085E" w:rsidRDefault="00C7085E" w:rsidP="00B71B1A">
      <w:pPr>
        <w:widowControl/>
        <w:numPr>
          <w:ilvl w:val="0"/>
          <w:numId w:val="12"/>
        </w:numPr>
        <w:suppressAutoHyphens/>
        <w:spacing w:before="120" w:after="240" w:line="276" w:lineRule="auto"/>
        <w:ind w:right="-285"/>
        <w:rPr>
          <w:szCs w:val="22"/>
        </w:rPr>
      </w:pPr>
      <w:r>
        <w:rPr>
          <w:szCs w:val="22"/>
        </w:rPr>
        <w:t>Referencia a la norma EN 10224.</w:t>
      </w:r>
    </w:p>
    <w:p w:rsidR="00C7085E" w:rsidRDefault="00C7085E" w:rsidP="00B71B1A">
      <w:pPr>
        <w:widowControl/>
        <w:numPr>
          <w:ilvl w:val="0"/>
          <w:numId w:val="12"/>
        </w:numPr>
        <w:suppressAutoHyphens/>
        <w:autoSpaceDE/>
        <w:autoSpaceDN/>
        <w:adjustRightInd/>
        <w:spacing w:before="120" w:after="240" w:line="276" w:lineRule="auto"/>
        <w:ind w:left="714" w:right="-285" w:hanging="357"/>
        <w:rPr>
          <w:szCs w:val="22"/>
        </w:rPr>
      </w:pPr>
      <w:r>
        <w:rPr>
          <w:szCs w:val="22"/>
        </w:rPr>
        <w:t>Designación simbólica del acero</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En caso de inspección técnica:</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Marca del inspector, cuando se requiera una inspección específica.</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Número de identificación, por ejemplo, número de pedido o de artículo, que permita la correlación del producto o unidad de suministro con los documentos relacionados.</w:t>
      </w:r>
    </w:p>
    <w:p w:rsidR="00C7085E" w:rsidRDefault="00C7085E" w:rsidP="00B71B1A">
      <w:pPr>
        <w:widowControl/>
        <w:numPr>
          <w:ilvl w:val="0"/>
          <w:numId w:val="12"/>
        </w:numPr>
        <w:suppressAutoHyphens/>
        <w:spacing w:before="120" w:after="240" w:line="276" w:lineRule="auto"/>
        <w:ind w:right="-285"/>
        <w:rPr>
          <w:szCs w:val="22"/>
        </w:rPr>
      </w:pPr>
      <w:r>
        <w:rPr>
          <w:szCs w:val="22"/>
        </w:rPr>
        <w:t>La letra W para indicar que el tubo ha sido fabricando mediante soldadura.</w:t>
      </w:r>
    </w:p>
    <w:p w:rsidR="00C7085E" w:rsidRDefault="00C7085E" w:rsidP="00B71B1A">
      <w:pPr>
        <w:widowControl/>
        <w:numPr>
          <w:ilvl w:val="0"/>
          <w:numId w:val="12"/>
        </w:numPr>
        <w:suppressAutoHyphens/>
        <w:spacing w:before="120" w:after="240" w:line="276" w:lineRule="auto"/>
        <w:ind w:right="-285"/>
        <w:rPr>
          <w:szCs w:val="22"/>
        </w:rPr>
      </w:pPr>
      <w:r>
        <w:rPr>
          <w:szCs w:val="22"/>
        </w:rPr>
        <w:t>Diámetro nominal, DN.</w:t>
      </w:r>
    </w:p>
    <w:p w:rsidR="00C7085E" w:rsidRDefault="00C7085E" w:rsidP="00B71B1A">
      <w:pPr>
        <w:widowControl/>
        <w:numPr>
          <w:ilvl w:val="0"/>
          <w:numId w:val="12"/>
        </w:numPr>
        <w:suppressAutoHyphens/>
        <w:spacing w:before="120" w:after="240" w:line="276" w:lineRule="auto"/>
        <w:ind w:right="-285"/>
        <w:rPr>
          <w:szCs w:val="22"/>
        </w:rPr>
      </w:pPr>
      <w:r>
        <w:rPr>
          <w:szCs w:val="22"/>
        </w:rPr>
        <w:lastRenderedPageBreak/>
        <w:t>Espesor nominal, e.</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Identificación del certificado de producto emitido por tercera parte, si procede.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szCs w:val="20"/>
        </w:rPr>
      </w:pPr>
      <w:r>
        <w:t>Ejecución</w:t>
      </w:r>
    </w:p>
    <w:p w:rsidR="00C7085E" w:rsidRDefault="00C7085E" w:rsidP="00B71B1A">
      <w:pPr>
        <w:spacing w:before="120" w:after="240" w:line="276" w:lineRule="auto"/>
        <w:ind w:right="-285"/>
      </w:pPr>
      <w:r>
        <w:t>En zonas urbanas, urbanizables y en aquellas que indique la Dirección de Obra por su posible afección a otras infraestructuras, las tuberías de acero irán alojadas en un dado de hormigón, el cual estará diseñado para resistir las cargas de tráfico y de tierras a las que vaya estar sometido, conforme a lo especificado en la vigente Instrucción de Hormigón Estructural (EHE)</w:t>
      </w:r>
    </w:p>
    <w:p w:rsidR="00C7085E" w:rsidRDefault="00C7085E" w:rsidP="00B71B1A">
      <w:pPr>
        <w:spacing w:before="120" w:after="240" w:line="276" w:lineRule="auto"/>
        <w:ind w:right="-285"/>
        <w:rPr>
          <w:i/>
        </w:rPr>
      </w:pPr>
      <w:r>
        <w:t>Los tubos de acero podrán estar provistos de uniones rígidas soldadas o bien por uniones rígidas con bridas, debiendo cumplir en ambos casos las especificaciones recogidas en la norma UNE-EN 10311: “</w:t>
      </w:r>
      <w:r>
        <w:rPr>
          <w:i/>
        </w:rPr>
        <w:t>Uniones para la conexión de tubos de acero y sus accesorios para la conducción de agua y otros líquidos acuosos.”</w:t>
      </w:r>
    </w:p>
    <w:p w:rsidR="00C7085E" w:rsidRDefault="00C7085E" w:rsidP="00B71B1A">
      <w:pPr>
        <w:spacing w:before="120" w:after="240" w:line="276" w:lineRule="auto"/>
        <w:ind w:right="-285"/>
      </w:pPr>
      <w:r>
        <w:t>Habitualmente se utilizarán uniones rígidas soldadas abocardadas.</w:t>
      </w:r>
    </w:p>
    <w:p w:rsidR="00C7085E" w:rsidRDefault="00C7085E" w:rsidP="00B71B1A">
      <w:pPr>
        <w:spacing w:before="120" w:after="240" w:line="276" w:lineRule="auto"/>
        <w:ind w:right="-285"/>
      </w:pPr>
      <w:r>
        <w:t>En el caso de realizar algún entronque será necesario realizar un estudio concreto y diseñar el tipo de refuerzo o babero y el espesor del mismo.</w:t>
      </w:r>
    </w:p>
    <w:p w:rsidR="00C7085E" w:rsidRDefault="00C7085E" w:rsidP="00B71B1A">
      <w:pPr>
        <w:spacing w:before="120" w:after="240" w:line="276" w:lineRule="auto"/>
        <w:ind w:right="-285"/>
      </w:pPr>
      <w:r>
        <w:t>El radio mínimo de los codos será vez y media (1,5), el radio interior de la tubería.</w:t>
      </w:r>
    </w:p>
    <w:p w:rsidR="00C7085E" w:rsidRDefault="00C7085E" w:rsidP="00B71B1A">
      <w:pPr>
        <w:spacing w:before="120" w:after="240" w:line="276" w:lineRule="auto"/>
        <w:ind w:right="-285"/>
      </w:pPr>
      <w:r>
        <w:t>La longitud de los conos será, como mínimo, cuatro (4) veces la diferencia de los diámetros máximo y mínimo de los conos.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Será de aplicación lo especificado en la norma UNE-EN 10224.</w:t>
      </w:r>
    </w:p>
    <w:p w:rsidR="00C7085E" w:rsidRDefault="00C7085E" w:rsidP="00B71B1A">
      <w:pPr>
        <w:pStyle w:val="Ttulo4"/>
        <w:keepLines/>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keepNext/>
        <w:keepLines/>
        <w:spacing w:before="120" w:after="240" w:line="276" w:lineRule="auto"/>
        <w:ind w:right="-285"/>
      </w:pPr>
      <w:r>
        <w:t>Las tuberías de acero se medirán por metros (m) de conducción totalmente terminada y probada en obra y se abonarán, al precio que corresponda, en función de la calidad del acero, del diámetro exterior y del espesor nominal del tubo, de los que figuren en el Cuadro de Precios vigente de Canal de Isabel II Gestión.</w:t>
      </w:r>
    </w:p>
    <w:p w:rsidR="00C7085E" w:rsidRDefault="00C7085E" w:rsidP="00B71B1A">
      <w:pPr>
        <w:spacing w:before="120" w:after="240" w:line="276" w:lineRule="auto"/>
        <w:ind w:right="-285"/>
      </w:pPr>
      <w:r>
        <w:t xml:space="preserve">En los precios están incluidos, el revestimiento interior de cuatrocientas micras (400 </w:t>
      </w:r>
      <w:r>
        <w:rPr>
          <w:rFonts w:cs="Arial"/>
        </w:rPr>
        <w:t>µ</w:t>
      </w:r>
      <w:r>
        <w:t xml:space="preserve">m) con pintura epoxi, el recubrimiento exterior de tres milímetros (3 mm) de polietileno o mil micras (1.000 </w:t>
      </w:r>
      <w:r>
        <w:rPr>
          <w:rFonts w:cs="Arial"/>
        </w:rPr>
        <w:t>µ</w:t>
      </w:r>
      <w:r>
        <w:t xml:space="preserve">m) de poliuretano, la preparación de ambas superficies a grado SA 2 ½, la parte proporcional de junta soldada, y todas las pruebas necesarias para asegurar el correcto funcionamiento de la tubería. </w:t>
      </w:r>
    </w:p>
    <w:p w:rsidR="00C7085E" w:rsidRDefault="00C7085E" w:rsidP="00B71B1A">
      <w:pPr>
        <w:spacing w:before="120" w:after="240" w:line="276" w:lineRule="auto"/>
        <w:ind w:right="-285"/>
      </w:pPr>
      <w:r>
        <w:t xml:space="preserve">Además de lo relacionado en el párrafo anterior, los precios incluyen la manga termorretractil a aplicar como protección exterior de las juntas, así como el pintado interior de las mismas tras el proceso de soldadura, con el mismo recubrimiento que el aplicado en la tubería </w:t>
      </w:r>
      <w:r>
        <w:lastRenderedPageBreak/>
        <w:t>instalada.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83" w:name="_Toc414021800"/>
      <w:bookmarkStart w:id="184" w:name="_Toc448741422"/>
      <w:r>
        <w:t>Tubería de materiales termoplásticos de pared estructurada</w:t>
      </w:r>
      <w:bookmarkEnd w:id="183"/>
      <w:bookmarkEnd w:id="184"/>
      <w:r>
        <w:t xml:space="preserve"> </w:t>
      </w:r>
    </w:p>
    <w:p w:rsidR="00C7085E" w:rsidRDefault="00C7085E" w:rsidP="00B71B1A">
      <w:pPr>
        <w:spacing w:before="120" w:after="240" w:line="276" w:lineRule="auto"/>
        <w:ind w:right="-285"/>
      </w:pPr>
      <w:r>
        <w:t>Los tubos de materiales termoplásticos de pared estructurada objeto de este artículo sólo podrán emplearse en redes de saneamiento y deberán cumplir con lo especificado para los mismos en la norma UNE-EN 13476: “</w:t>
      </w:r>
      <w:r>
        <w:rPr>
          <w:i/>
        </w:rPr>
        <w:t xml:space="preserve">Sistemas de canalización en materiales plásticos para evacuación y saneamiento enterrado sin presión. Sistemas de canalización de pared estructurada de poli de (cloruro de vinilo) no plastificado (PVC-U), polipropileno (PP) y polietileno (PE). </w:t>
      </w:r>
    </w:p>
    <w:p w:rsidR="00C7085E" w:rsidRDefault="00C7085E" w:rsidP="00B71B1A">
      <w:pPr>
        <w:spacing w:before="120" w:after="240" w:line="276" w:lineRule="auto"/>
        <w:ind w:right="-285"/>
      </w:pPr>
      <w:r>
        <w:t>La serie de diámetros normalizados a utilizar será:</w:t>
      </w:r>
    </w:p>
    <w:p w:rsidR="00C7085E" w:rsidRDefault="00C7085E" w:rsidP="00B71B1A">
      <w:pPr>
        <w:spacing w:before="120" w:after="240" w:line="276" w:lineRule="auto"/>
        <w:ind w:right="-285"/>
        <w:jc w:val="center"/>
      </w:pPr>
      <w:r>
        <w:t>400, 500, 600, 700, 800, 1.000 y 1.200 mm</w:t>
      </w:r>
    </w:p>
    <w:p w:rsidR="00C7085E" w:rsidRDefault="00C7085E" w:rsidP="00B71B1A">
      <w:pPr>
        <w:spacing w:before="120" w:after="240" w:line="276" w:lineRule="auto"/>
        <w:ind w:right="-285"/>
      </w:pPr>
      <w:r>
        <w:t>Los tubos de PVC-U de pared estructurada se clasificarán por su diámetro nominal (DN), expresado como diámetro exterior (OD) o diámetro interior (ID) según proceda, y por su rigidez nominal (SN).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Estos tubos podrán ser fabricados con diversos materiales, PVC-U, PE o PP, y bajo muchos posibles diseños, los cuales se clasifican de la siguiente manera:</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Tipo A: Tubos y accesorios con la superficies interna y externa lisas</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Tipo B: Tubos y accesorios con la superficie interna lisa y la superficie externa perfilada</w:t>
      </w:r>
    </w:p>
    <w:p w:rsidR="00C7085E" w:rsidRDefault="00C7085E" w:rsidP="00B71B1A">
      <w:pPr>
        <w:keepNext/>
        <w:keepLines/>
        <w:spacing w:before="120" w:after="240" w:line="276" w:lineRule="auto"/>
        <w:ind w:right="-285"/>
      </w:pPr>
      <w:r>
        <w:t>El material de los tubos y accesorios tendrá las características que figuran en la tabla adjunta:</w:t>
      </w:r>
    </w:p>
    <w:tbl>
      <w:tblPr>
        <w:tblStyle w:val="Tablaconcuadrcula"/>
        <w:tblW w:w="8655" w:type="dxa"/>
        <w:jc w:val="center"/>
        <w:tblLayout w:type="fixed"/>
        <w:tblLook w:val="04A0" w:firstRow="1" w:lastRow="0" w:firstColumn="1" w:lastColumn="0" w:noHBand="0" w:noVBand="1"/>
      </w:tblPr>
      <w:tblGrid>
        <w:gridCol w:w="2411"/>
        <w:gridCol w:w="1655"/>
        <w:gridCol w:w="1655"/>
        <w:gridCol w:w="1796"/>
        <w:gridCol w:w="1138"/>
      </w:tblGrid>
      <w:tr w:rsidR="00C7085E" w:rsidTr="00C7085E">
        <w:trPr>
          <w:jc w:val="center"/>
        </w:trPr>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CARACTERISTICAS</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PVC-U</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PP</w:t>
            </w:r>
          </w:p>
        </w:tc>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PE</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Unidad</w:t>
            </w:r>
          </w:p>
        </w:tc>
      </w:tr>
      <w:tr w:rsidR="00C7085E" w:rsidTr="00C7085E">
        <w:trPr>
          <w:jc w:val="center"/>
        </w:trPr>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Módulo de elasticidad</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  3.200</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  1.250</w:t>
            </w:r>
          </w:p>
        </w:tc>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  800</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MPa</w:t>
            </w:r>
          </w:p>
        </w:tc>
      </w:tr>
      <w:tr w:rsidR="00C7085E" w:rsidTr="00C7085E">
        <w:trPr>
          <w:jc w:val="center"/>
        </w:trPr>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Densidad media</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m:oMath>
              <m:r>
                <m:rPr>
                  <m:sty m:val="p"/>
                </m:rPr>
                <w:rPr>
                  <w:rFonts w:ascii="Cambria Math" w:hAnsi="Cambria Math"/>
                </w:rPr>
                <m:t>≈</m:t>
              </m:r>
            </m:oMath>
            <w:r>
              <w:t xml:space="preserve"> 1.400</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m:oMath>
              <m:r>
                <w:rPr>
                  <w:rFonts w:ascii="Cambria Math" w:hAnsi="Cambria Math"/>
                </w:rPr>
                <m:t>≈</m:t>
              </m:r>
            </m:oMath>
            <w:r>
              <w:t xml:space="preserve"> 900</w:t>
            </w:r>
          </w:p>
        </w:tc>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m:oMath>
              <m:r>
                <m:rPr>
                  <m:sty m:val="p"/>
                </m:rPr>
                <w:rPr>
                  <w:rFonts w:ascii="Cambria Math" w:hAnsi="Cambria Math"/>
                </w:rPr>
                <m:t>≈</m:t>
              </m:r>
            </m:oMath>
            <w:r>
              <w:t xml:space="preserve"> 940</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Kg/m</w:t>
            </w:r>
            <w:r>
              <w:rPr>
                <w:vertAlign w:val="superscript"/>
              </w:rPr>
              <w:t>3</w:t>
            </w:r>
          </w:p>
        </w:tc>
      </w:tr>
      <w:tr w:rsidR="00C7085E" w:rsidTr="00C7085E">
        <w:trPr>
          <w:jc w:val="center"/>
        </w:trPr>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Coeficiente medio de dilatación térmica lineal</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m:oMath>
              <m:r>
                <m:rPr>
                  <m:sty m:val="p"/>
                </m:rPr>
                <w:rPr>
                  <w:rFonts w:ascii="Cambria Math" w:hAnsi="Cambria Math"/>
                </w:rPr>
                <m:t>≈</m:t>
              </m:r>
            </m:oMath>
            <w:r>
              <w:t xml:space="preserve"> 8 x 10-</w:t>
            </w:r>
            <w:r>
              <w:rPr>
                <w:vertAlign w:val="superscript"/>
              </w:rPr>
              <w:t>5</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m:oMath>
              <m:r>
                <w:rPr>
                  <w:rFonts w:ascii="Cambria Math" w:hAnsi="Cambria Math"/>
                </w:rPr>
                <m:t>≈</m:t>
              </m:r>
            </m:oMath>
            <w:r>
              <w:t xml:space="preserve"> 14 x 10</w:t>
            </w:r>
            <w:r>
              <w:rPr>
                <w:vertAlign w:val="superscript"/>
              </w:rPr>
              <w:t>-5</w:t>
            </w:r>
          </w:p>
        </w:tc>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m:oMath>
              <m:r>
                <m:rPr>
                  <m:sty m:val="p"/>
                </m:rPr>
                <w:rPr>
                  <w:rFonts w:ascii="Cambria Math" w:hAnsi="Cambria Math"/>
                </w:rPr>
                <m:t>≈</m:t>
              </m:r>
            </m:oMath>
            <w:r>
              <w:t xml:space="preserve"> 17 x 10-</w:t>
            </w:r>
            <w:r>
              <w:rPr>
                <w:vertAlign w:val="superscript"/>
              </w:rPr>
              <w:t>5</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K</w:t>
            </w:r>
            <w:r>
              <w:rPr>
                <w:vertAlign w:val="superscript"/>
              </w:rPr>
              <w:t>-1</w:t>
            </w:r>
          </w:p>
        </w:tc>
      </w:tr>
      <w:tr w:rsidR="00C7085E" w:rsidTr="00C7085E">
        <w:trPr>
          <w:jc w:val="center"/>
        </w:trPr>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Conductividad térmica</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m:oMath>
              <m:r>
                <m:rPr>
                  <m:sty m:val="p"/>
                </m:rPr>
                <w:rPr>
                  <w:rFonts w:ascii="Cambria Math" w:hAnsi="Cambria Math"/>
                </w:rPr>
                <m:t>≈</m:t>
              </m:r>
            </m:oMath>
            <w:r>
              <w:t xml:space="preserve"> 0,16</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m:oMath>
              <m:r>
                <w:rPr>
                  <w:rFonts w:ascii="Cambria Math" w:hAnsi="Cambria Math"/>
                </w:rPr>
                <m:t>≈</m:t>
              </m:r>
            </m:oMath>
            <w:r>
              <w:t xml:space="preserve"> 0,20</w:t>
            </w:r>
          </w:p>
        </w:tc>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m:oMath>
              <m:r>
                <m:rPr>
                  <m:sty m:val="p"/>
                </m:rPr>
                <w:rPr>
                  <w:rFonts w:ascii="Cambria Math" w:hAnsi="Cambria Math"/>
                </w:rPr>
                <m:t>≈</m:t>
              </m:r>
            </m:oMath>
            <w:r>
              <w:t xml:space="preserve"> 0,36 a 0,50</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WK</w:t>
            </w:r>
            <w:r>
              <w:rPr>
                <w:vertAlign w:val="superscript"/>
              </w:rPr>
              <w:t>-1</w:t>
            </w:r>
            <w:r>
              <w:t>m</w:t>
            </w:r>
            <w:r>
              <w:rPr>
                <w:vertAlign w:val="superscript"/>
              </w:rPr>
              <w:t>-1</w:t>
            </w:r>
          </w:p>
        </w:tc>
      </w:tr>
      <w:tr w:rsidR="00C7085E" w:rsidTr="00C7085E">
        <w:trPr>
          <w:jc w:val="center"/>
        </w:trPr>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Coeficiente de Poisson</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0,40</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0,42</w:t>
            </w:r>
          </w:p>
        </w:tc>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0,45</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w:t>
            </w:r>
          </w:p>
        </w:tc>
      </w:tr>
    </w:tbl>
    <w:p w:rsidR="00C7085E" w:rsidRDefault="00C7085E" w:rsidP="00B71B1A">
      <w:pPr>
        <w:pStyle w:val="Tabla"/>
        <w:spacing w:before="120" w:line="276" w:lineRule="auto"/>
        <w:ind w:right="-285"/>
      </w:pPr>
      <w:r>
        <w:t>Características tuberías de materiales termoplásticos de pared estructurada</w:t>
      </w:r>
    </w:p>
    <w:p w:rsidR="00C7085E" w:rsidRDefault="00C7085E" w:rsidP="00B71B1A">
      <w:pPr>
        <w:spacing w:before="120" w:after="240" w:line="276" w:lineRule="auto"/>
        <w:ind w:right="-285"/>
      </w:pPr>
      <w:r>
        <w:lastRenderedPageBreak/>
        <w:t>En el caso de tubos de PVC-U y de PE de pared estructurada sólo se admiten rigideces nominales iguales o superiores a ocho kilo newton por metro cuadrado (8 kN/m</w:t>
      </w:r>
      <w:r>
        <w:rPr>
          <w:vertAlign w:val="superscript"/>
        </w:rPr>
        <w:t>2</w:t>
      </w:r>
      <w:r>
        <w:t>), mientras que para los tubos de PP, la rigidez nominal será de dieciséis kilo newton por metro cuadrado (16 kN/m</w:t>
      </w:r>
      <w:r>
        <w:rPr>
          <w:vertAlign w:val="superscript"/>
        </w:rPr>
        <w:t>2</w:t>
      </w:r>
      <w:r>
        <w:t>).</w:t>
      </w:r>
    </w:p>
    <w:p w:rsidR="00C7085E" w:rsidRDefault="00C7085E" w:rsidP="00B71B1A">
      <w:pPr>
        <w:spacing w:before="120" w:after="240" w:line="276" w:lineRule="auto"/>
        <w:ind w:right="-285"/>
      </w:pPr>
      <w:r>
        <w:t>La serie de diámetros de las tuberías de PE y PP de pared estructurada se limita a los 400, 500 y 600 mm.</w:t>
      </w:r>
    </w:p>
    <w:p w:rsidR="00C7085E" w:rsidRDefault="00C7085E" w:rsidP="00B71B1A">
      <w:pPr>
        <w:spacing w:before="120" w:after="240" w:line="276" w:lineRule="auto"/>
        <w:ind w:right="-285"/>
      </w:pPr>
      <w:r>
        <w:t>La utilización de tubos de PE y de PP de pared estructurada se restringirá a los casos en los que la altura de tierras por encima de la generatriz superior del tubo sea menor de tres metros, y además, para los tubos de PP no deberán existir cargas de tráfico sobre los mismos.</w:t>
      </w:r>
    </w:p>
    <w:p w:rsidR="00C7085E" w:rsidRDefault="00C7085E" w:rsidP="00B71B1A">
      <w:pPr>
        <w:spacing w:before="120" w:after="240" w:line="276" w:lineRule="auto"/>
        <w:ind w:right="-285"/>
      </w:pPr>
      <w:r>
        <w:t>La capa interior y exterior de los tubos y accesorios serán de color teja (aproximadamente RAL 8023).</w:t>
      </w:r>
    </w:p>
    <w:p w:rsidR="00C7085E" w:rsidRDefault="00C7085E" w:rsidP="00B71B1A">
      <w:pPr>
        <w:spacing w:before="120" w:after="240" w:line="276" w:lineRule="auto"/>
        <w:ind w:right="-285"/>
      </w:pPr>
      <w:r>
        <w:t>Todos los tubos deberán ir marcados, de forma fácilmente legible y durable, con las siguientes identificaciones como mínimo:</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Nombre y/o marca del fabricante.</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Material: PVC-U, PE o PP.</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Referencia a la norma EN 13476.</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Diámetro nominal (DN), expresado como diámetro exterior o interior, según el caso</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Tolerancia en el diámetro: sólo para tubos de PP y PE, la designación CT si requiere tolerancia.</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Tipo de conducción, A o B.</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Rigidez nominal (SN).</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 xml:space="preserve">Flexibilidad anular </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Área de aplicación, aplicación prevista designada con una U si se encuentra a cierta distancia de un edificio y con una UD, si está destinada a usar bajo o cerca de un edificio.</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Marca de calidad.</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szCs w:val="20"/>
        </w:rPr>
      </w:pPr>
      <w:r>
        <w:t>Ejecución</w:t>
      </w:r>
    </w:p>
    <w:p w:rsidR="00C7085E" w:rsidRDefault="00C7085E" w:rsidP="00B71B1A">
      <w:pPr>
        <w:spacing w:before="120" w:after="240" w:line="276" w:lineRule="auto"/>
        <w:ind w:right="-285"/>
      </w:pPr>
      <w:r>
        <w:t>Los sistemas de unión de los tubos de materiales termoplásticos de pared estructurada podrán ser:</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Unión flexible de enchufe y extremo liso con anillo elastomérico.</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lastRenderedPageBreak/>
        <w:t>Unión flexible mediante manguito soldado a uno de los extremos de la conducción con anillo elastomérico.</w:t>
      </w:r>
    </w:p>
    <w:p w:rsidR="00C7085E" w:rsidRDefault="00C7085E" w:rsidP="00B71B1A">
      <w:pPr>
        <w:spacing w:before="120" w:after="240" w:line="276" w:lineRule="auto"/>
        <w:ind w:right="-285"/>
      </w:pPr>
      <w:r>
        <w:t>De acuerdo con la UNE-EN 13476, se permiten juntas de estanqueidad realizadas con otros polímeros distintos al PVC-U, PP o PE. El material utilizado deberá ser conforme a las normas UNE-EN 681-1, UNE-EN 681-2 o UNE-EN 681-4, según proceda.</w:t>
      </w:r>
    </w:p>
    <w:p w:rsidR="00C7085E" w:rsidRDefault="00C7085E" w:rsidP="00B71B1A">
      <w:pPr>
        <w:spacing w:before="120" w:after="240" w:line="276" w:lineRule="auto"/>
        <w:ind w:right="-285"/>
      </w:pPr>
      <w:r>
        <w:t>La junta de estanqueidad no tendrá efectos perjudiciales sobre el material de la tubería.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Será de aplicación lo especificado en la norma UNE-EN 13476.</w:t>
      </w:r>
    </w:p>
    <w:p w:rsidR="00C7085E" w:rsidRDefault="00C7085E" w:rsidP="00B71B1A">
      <w:pPr>
        <w:spacing w:before="120" w:after="240" w:line="276" w:lineRule="auto"/>
        <w:ind w:right="-285"/>
        <w:rPr>
          <w:u w:val="single"/>
        </w:rPr>
      </w:pPr>
      <w:r>
        <w:rPr>
          <w:u w:val="single"/>
        </w:rPr>
        <w:t>Control de calidad de la ejecución</w:t>
      </w:r>
    </w:p>
    <w:p w:rsidR="00C7085E" w:rsidRDefault="00C7085E" w:rsidP="00B71B1A">
      <w:pPr>
        <w:spacing w:before="120" w:after="240" w:line="276" w:lineRule="auto"/>
        <w:ind w:right="-285"/>
      </w:pPr>
      <w:r>
        <w:t>Será de aplicación lo especificado en la norma UNE-EN 13476, en su parte quinta.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tuberías de materiales termoplásticos de pared estructurada se medirán por metros (m) de conducción totalmente terminada y probada en obra y se abonarán, al precio que corresponda, en función del diámetro nominal y de la rigidez anular, de los que figuren en el Cuadro de Precios vigente de Canal de Isabel II Gestión.</w:t>
      </w:r>
    </w:p>
    <w:p w:rsidR="00C7085E" w:rsidRDefault="00C7085E" w:rsidP="00B71B1A">
      <w:pPr>
        <w:spacing w:before="120" w:after="240" w:line="276" w:lineRule="auto"/>
        <w:ind w:right="-285"/>
      </w:pPr>
      <w:r>
        <w:t>En los precios están incluidos, la parte proporcional de junta elástica, los medios auxiliares y todas las pruebas necesarias para asegurar el correcto funcionamiento de la tubería.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85" w:name="_Toc414021801"/>
      <w:bookmarkStart w:id="186" w:name="_Toc448741423"/>
      <w:r>
        <w:t>Tubería de PVC orientado (PVC-O)</w:t>
      </w:r>
      <w:bookmarkEnd w:id="185"/>
      <w:bookmarkEnd w:id="186"/>
    </w:p>
    <w:p w:rsidR="00C7085E" w:rsidRDefault="00C7085E" w:rsidP="00B71B1A">
      <w:pPr>
        <w:spacing w:before="120" w:after="240" w:line="276" w:lineRule="auto"/>
        <w:ind w:right="-285"/>
      </w:pPr>
      <w:r>
        <w:t xml:space="preserve">Este artículo es de aplicación para todas las tuberías de policloruro de vinilo orientado molecularmente (PVC-O) que se utilicen en las redes de abastecimiento, las redes de saneamiento y las redes de reutilización que gestiona el Canal de Isabel II Gestión, </w:t>
      </w:r>
    </w:p>
    <w:p w:rsidR="00C7085E" w:rsidRDefault="00C7085E" w:rsidP="00B71B1A">
      <w:pPr>
        <w:spacing w:before="120" w:after="240" w:line="276" w:lineRule="auto"/>
        <w:ind w:right="-285"/>
      </w:pPr>
      <w:r>
        <w:t>Las tuberías de PVC-O deberán cumplir con lo especificado para las mismas en la norma UNE-ISO 16422. “</w:t>
      </w:r>
      <w:r>
        <w:rPr>
          <w:rFonts w:cs="Arial"/>
          <w:bCs/>
          <w:i/>
          <w:color w:val="000000"/>
          <w:szCs w:val="22"/>
        </w:rPr>
        <w:t>Tubos y uniones de poli (cloruro de vinilo) orientado (PVC-O) para conducción de agua a presión. Especificaciones.”</w:t>
      </w:r>
    </w:p>
    <w:p w:rsidR="00C7085E" w:rsidRDefault="00C7085E" w:rsidP="00B71B1A">
      <w:pPr>
        <w:spacing w:before="120" w:after="240" w:line="276" w:lineRule="auto"/>
        <w:ind w:right="-285"/>
      </w:pPr>
      <w:r>
        <w:t>La serie de diámetros nominales, DN, a utilizar será: 90, 110, 125, 140, 160, 180, 200, 225, 250, 280, 315, 355, 400, 450, 500, 560 y 630 mm.</w:t>
      </w:r>
    </w:p>
    <w:p w:rsidR="00C7085E" w:rsidRDefault="00C7085E" w:rsidP="00B71B1A">
      <w:pPr>
        <w:spacing w:before="120" w:after="240" w:line="276" w:lineRule="auto"/>
        <w:ind w:right="-285"/>
      </w:pPr>
      <w:r>
        <w:t>Los tubos de PVC-O se clasificarán por su diámetro nominal (DN), refiriéndose éste a su diámetro exterior (OD), por su presión nominal (PN) y por la Resistencia Mínima Requerida (MRS) del material.</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El material del cual se fabrican los tubos deberá cumplir lo especificado en la norma UNE-</w:t>
      </w:r>
      <w:r>
        <w:lastRenderedPageBreak/>
        <w:t>ISO 16422.</w:t>
      </w:r>
    </w:p>
    <w:p w:rsidR="00C7085E" w:rsidRDefault="00C7085E" w:rsidP="00B71B1A">
      <w:pPr>
        <w:spacing w:before="120" w:after="240" w:line="276" w:lineRule="auto"/>
        <w:ind w:right="-285"/>
      </w:pPr>
      <w:r>
        <w:t>Únicamente podrán emplearse tubos de PVC-O 500, MRS 50 N/mm</w:t>
      </w:r>
      <w:r>
        <w:rPr>
          <w:vertAlign w:val="superscript"/>
        </w:rPr>
        <w:t>2</w:t>
      </w:r>
      <w:r>
        <w:t xml:space="preserve"> y por tanto, SDR= 45,8 y S= 22,40. </w:t>
      </w:r>
    </w:p>
    <w:p w:rsidR="00C7085E" w:rsidRDefault="00C7085E" w:rsidP="00B71B1A">
      <w:pPr>
        <w:spacing w:before="120" w:after="240" w:line="276" w:lineRule="auto"/>
        <w:ind w:right="-285"/>
      </w:pPr>
      <w:r>
        <w:t>La presión nominal será conforme a proyecto y podrá tener los siguientes valores:</w:t>
      </w:r>
    </w:p>
    <w:p w:rsidR="00C7085E" w:rsidRDefault="00C7085E" w:rsidP="00B71B1A">
      <w:pPr>
        <w:widowControl/>
        <w:numPr>
          <w:ilvl w:val="0"/>
          <w:numId w:val="12"/>
        </w:numPr>
        <w:suppressAutoHyphens/>
        <w:spacing w:before="120" w:after="240" w:line="276" w:lineRule="auto"/>
        <w:ind w:right="-285"/>
        <w:rPr>
          <w:szCs w:val="22"/>
        </w:rPr>
      </w:pPr>
      <w:r>
        <w:rPr>
          <w:szCs w:val="22"/>
        </w:rPr>
        <w:t>Redes de abastecimiento:</w:t>
      </w:r>
      <w:r>
        <w:rPr>
          <w:szCs w:val="22"/>
        </w:rPr>
        <w:tab/>
        <w:t xml:space="preserve"> </w:t>
      </w:r>
      <w:r>
        <w:rPr>
          <w:szCs w:val="22"/>
        </w:rPr>
        <w:tab/>
        <w:t>PN 16 o PN 25</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Redes de reutilización:</w:t>
      </w:r>
      <w:r>
        <w:rPr>
          <w:szCs w:val="22"/>
        </w:rPr>
        <w:tab/>
      </w:r>
      <w:r>
        <w:rPr>
          <w:szCs w:val="22"/>
        </w:rPr>
        <w:tab/>
        <w:t>PN 16 o PN 25</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Redes de saneamiento:</w:t>
      </w:r>
      <w:r>
        <w:rPr>
          <w:szCs w:val="22"/>
        </w:rPr>
        <w:tab/>
      </w:r>
      <w:r>
        <w:rPr>
          <w:szCs w:val="22"/>
        </w:rPr>
        <w:tab/>
        <w:t>PN 12,5</w:t>
      </w:r>
    </w:p>
    <w:p w:rsidR="00C7085E" w:rsidRDefault="00C7085E" w:rsidP="00B71B1A">
      <w:pPr>
        <w:tabs>
          <w:tab w:val="left" w:pos="2428"/>
        </w:tabs>
        <w:spacing w:before="120" w:after="240" w:line="276" w:lineRule="auto"/>
        <w:ind w:right="-285"/>
      </w:pPr>
      <w:r>
        <w:t>Los colores de los tubos empleados, en función del servicio que presten, serán los siguientes:</w:t>
      </w:r>
    </w:p>
    <w:p w:rsidR="00C7085E" w:rsidRDefault="00C7085E" w:rsidP="00B71B1A">
      <w:pPr>
        <w:tabs>
          <w:tab w:val="left" w:pos="2428"/>
        </w:tabs>
        <w:spacing w:before="120" w:after="240" w:line="276" w:lineRule="auto"/>
        <w:ind w:left="2835" w:right="-285" w:hanging="2835"/>
      </w:pPr>
      <w:r>
        <w:t xml:space="preserve">Redes de abastecimiento: </w:t>
      </w:r>
      <w:r>
        <w:tab/>
      </w:r>
      <w:r>
        <w:tab/>
        <w:t>Azul (PANTONE 3005, RAL 5005, RAL 5007, RAL 5010, RAL 5015 o RAL 5017)</w:t>
      </w:r>
    </w:p>
    <w:p w:rsidR="00C7085E" w:rsidRDefault="00C7085E" w:rsidP="00B71B1A">
      <w:pPr>
        <w:tabs>
          <w:tab w:val="left" w:pos="2428"/>
        </w:tabs>
        <w:spacing w:before="120" w:after="240" w:line="276" w:lineRule="auto"/>
        <w:ind w:left="1985" w:right="-285" w:hanging="1985"/>
      </w:pPr>
      <w:r>
        <w:t>Redes de reutilización:</w:t>
      </w:r>
      <w:r>
        <w:tab/>
      </w:r>
      <w:r>
        <w:tab/>
        <w:t>Morado. (PANTONE 2577, RAL 4001 o RAL 4005)</w:t>
      </w:r>
    </w:p>
    <w:p w:rsidR="00C7085E" w:rsidRDefault="00C7085E" w:rsidP="00B71B1A">
      <w:pPr>
        <w:tabs>
          <w:tab w:val="left" w:pos="2428"/>
        </w:tabs>
        <w:spacing w:before="120" w:after="240" w:line="276" w:lineRule="auto"/>
        <w:ind w:left="1985" w:right="-285" w:hanging="1985"/>
      </w:pPr>
      <w:r>
        <w:t xml:space="preserve">Redes de saneamiento: </w:t>
      </w:r>
      <w:r>
        <w:tab/>
      </w:r>
      <w:r>
        <w:tab/>
        <w:t>Teja. (RAL 8023)</w:t>
      </w:r>
    </w:p>
    <w:p w:rsidR="00C7085E" w:rsidRDefault="00C7085E" w:rsidP="00B71B1A">
      <w:pPr>
        <w:tabs>
          <w:tab w:val="left" w:pos="2428"/>
        </w:tabs>
        <w:spacing w:before="120" w:after="240" w:line="276" w:lineRule="auto"/>
        <w:ind w:right="-285"/>
      </w:pPr>
      <w:r>
        <w:t>Todos los tubos deberán ir marcados, a intervalos no superiores a un metro, de forma fácilmente legible y durable, con las siguientes identificaciones como mínimo:</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Nombre del fabricante o marca comercial.</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Material del tubo y su clasificación (PVC-O 500).</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Diámetro exterior nominal DN y espesor nominal de pared, e.</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Presión nominal, PN.</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Referencia a la norma ISO 16422.</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El coeficiente C.</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Fecha de producción o código.</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Centro de producción.</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Identificación del certificado de producto emitido por tercera parte.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El sistema de unión de las tuberías de PVC-O será mediante junta flexible de enchufe y extremo liso con anillo elastomérico.</w:t>
      </w:r>
    </w:p>
    <w:p w:rsidR="00C7085E" w:rsidRDefault="00C7085E" w:rsidP="00B71B1A">
      <w:pPr>
        <w:spacing w:before="120" w:after="240" w:line="276" w:lineRule="auto"/>
        <w:ind w:right="-285"/>
      </w:pPr>
      <w:r>
        <w:t xml:space="preserve">Las juntas tóricas elastoméricas utilizadas para la unión de componentes cumplirán con lo </w:t>
      </w:r>
      <w:r>
        <w:lastRenderedPageBreak/>
        <w:t>especificado en la UNE-ISO 16422.</w:t>
      </w:r>
    </w:p>
    <w:p w:rsidR="00C7085E" w:rsidRDefault="00C7085E" w:rsidP="00B71B1A">
      <w:pPr>
        <w:spacing w:before="120" w:after="240" w:line="276" w:lineRule="auto"/>
        <w:ind w:right="-285"/>
      </w:pPr>
      <w:r>
        <w:t>No se admiten uniones simplemente encoladas en este tipo de tubos.</w:t>
      </w:r>
    </w:p>
    <w:p w:rsidR="00C7085E" w:rsidRDefault="00C7085E" w:rsidP="00B71B1A">
      <w:pPr>
        <w:spacing w:before="120" w:after="240" w:line="276" w:lineRule="auto"/>
        <w:ind w:right="-285"/>
      </w:pPr>
      <w:r>
        <w:t>Los tubos de PVC-O podrán ser montados en el exterior de la zanja e introducirse en ella una vez unidos.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rPr>
          <w:rFonts w:ascii="ArialMT" w:hAnsi="ArialMT" w:cs="ArialMT"/>
          <w:szCs w:val="22"/>
        </w:rPr>
      </w:pPr>
      <w:r>
        <w:t>Para el control de calidad de la fabricación de las tuberías y piezas especiales de PVC-O será de aplicación</w:t>
      </w:r>
      <w:r>
        <w:rPr>
          <w:rFonts w:ascii="ArialMT" w:hAnsi="ArialMT" w:cs="ArialMT"/>
          <w:szCs w:val="22"/>
        </w:rPr>
        <w:t xml:space="preserve"> lo especificado en la norma UNE-ISO 16422.</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szCs w:val="20"/>
        </w:rPr>
      </w:pPr>
      <w:r>
        <w:t>Medición y abono</w:t>
      </w:r>
    </w:p>
    <w:p w:rsidR="00C7085E" w:rsidRDefault="00C7085E" w:rsidP="00B71B1A">
      <w:pPr>
        <w:spacing w:before="120" w:after="240" w:line="276" w:lineRule="auto"/>
        <w:ind w:right="-285"/>
      </w:pPr>
      <w:r>
        <w:t>Las tuberías de PVC-O se medirán por metros (m) de conducción totalmente terminada y probada en obra.</w:t>
      </w:r>
    </w:p>
    <w:p w:rsidR="00C7085E" w:rsidRDefault="00C7085E" w:rsidP="00B71B1A">
      <w:pPr>
        <w:spacing w:before="120" w:after="240" w:line="276" w:lineRule="auto"/>
        <w:ind w:right="-285"/>
      </w:pPr>
      <w:r>
        <w:t>El precio al que se abonará cada tubería será el que corresponda a su diámetro nominal y presión nominal, según los precios que figuren en el Cuadro de Precios vigente de Canal de Isabel II Gestión.</w:t>
      </w:r>
    </w:p>
    <w:p w:rsidR="00C7085E" w:rsidRDefault="00C7085E" w:rsidP="00B71B1A">
      <w:pPr>
        <w:spacing w:before="120" w:after="240" w:line="276" w:lineRule="auto"/>
        <w:ind w:right="-285"/>
      </w:pPr>
      <w:r>
        <w:t>En los precios se considera incluida la parte proporcional de unión mediante junta elástica, los medios auxiliares y las pruebas necesarias para asegurar el correcto funcionamiento de la tubería.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87" w:name="_Toc414021802"/>
      <w:bookmarkStart w:id="188" w:name="_Toc448741424"/>
      <w:r>
        <w:t>Tubería de fundición dúctil para abastecimiento/reutilización</w:t>
      </w:r>
      <w:bookmarkEnd w:id="187"/>
      <w:bookmarkEnd w:id="188"/>
    </w:p>
    <w:p w:rsidR="00C7085E" w:rsidRDefault="00C7085E" w:rsidP="00B71B1A">
      <w:pPr>
        <w:spacing w:before="120" w:after="240" w:line="276" w:lineRule="auto"/>
        <w:ind w:right="-285"/>
      </w:pPr>
      <w:r>
        <w:t>Los tubos de fundición dúctil objeto del presente artículo deberán cumplir con lo especificado para los mismos en la norma UNE-EN 545: “</w:t>
      </w:r>
      <w:r>
        <w:rPr>
          <w:i/>
        </w:rPr>
        <w:t>Tubos, racores y accesorios de fundición dúctil y sus uniones para canalizaciones de agua. Requisitos y métodos de ensayo.”</w:t>
      </w:r>
    </w:p>
    <w:p w:rsidR="00C7085E" w:rsidRDefault="00C7085E" w:rsidP="00B71B1A">
      <w:pPr>
        <w:spacing w:before="120" w:after="240" w:line="276" w:lineRule="auto"/>
        <w:ind w:right="-285"/>
      </w:pPr>
      <w:r>
        <w:t>En redes nuevas de aducción o de distribución de agua para consumo humano, las tuberías de fundición dúctil serán de uso preferente dentro de su rango de aplicación, el cual comprende desde el diámetro nominal 80 mm al 1.000 mm.</w:t>
      </w:r>
    </w:p>
    <w:p w:rsidR="00C7085E" w:rsidRDefault="00C7085E" w:rsidP="00B71B1A">
      <w:pPr>
        <w:spacing w:before="120" w:after="240" w:line="276" w:lineRule="auto"/>
        <w:ind w:right="-285"/>
      </w:pPr>
      <w:r>
        <w:t>Para las redes de agua regenerada, los diámetros de las conducciones también estarán comprendidos entre los 80 mm y los 500 mm.</w:t>
      </w:r>
    </w:p>
    <w:p w:rsidR="0032619C" w:rsidRDefault="00C7085E" w:rsidP="0032619C">
      <w:pPr>
        <w:spacing w:before="120" w:after="240" w:line="276" w:lineRule="auto"/>
        <w:ind w:right="-285"/>
      </w:pPr>
      <w:r>
        <w:t>Los tubos unidos mediante junta flexible se clasificarán por su diámetro nominal (DN), refiriéndose éste a su diámetro interior (ID) y su clase de presión (C), mientras que los tubos que se unen mediante bridas se clasifican por su diámetro nominal (DN) y por su presión nominal (PN).</w:t>
      </w:r>
    </w:p>
    <w:p w:rsidR="0032619C" w:rsidRDefault="00C7085E" w:rsidP="0032619C">
      <w:pPr>
        <w:spacing w:before="120" w:after="240" w:line="276" w:lineRule="auto"/>
        <w:ind w:right="-285"/>
      </w:pPr>
      <w:r>
        <w:t>La serie de diámetros nominales y clases de presiones a utilizar serán:</w:t>
      </w:r>
    </w:p>
    <w:tbl>
      <w:tblPr>
        <w:tblStyle w:val="Tablaconcuadrcula"/>
        <w:tblW w:w="0" w:type="auto"/>
        <w:tblInd w:w="675" w:type="dxa"/>
        <w:tblBorders>
          <w:left w:val="none" w:sz="0" w:space="0" w:color="auto"/>
          <w:right w:val="none" w:sz="0" w:space="0" w:color="auto"/>
        </w:tblBorders>
        <w:tblLayout w:type="fixed"/>
        <w:tblLook w:val="04A0" w:firstRow="1" w:lastRow="0" w:firstColumn="1" w:lastColumn="0" w:noHBand="0" w:noVBand="1"/>
      </w:tblPr>
      <w:tblGrid>
        <w:gridCol w:w="851"/>
        <w:gridCol w:w="1276"/>
        <w:gridCol w:w="1445"/>
        <w:gridCol w:w="1361"/>
        <w:gridCol w:w="1361"/>
        <w:gridCol w:w="1361"/>
      </w:tblGrid>
      <w:tr w:rsidR="00C7085E" w:rsidTr="0032619C">
        <w:trPr>
          <w:trHeight w:val="439"/>
          <w:tblHeader/>
        </w:trPr>
        <w:tc>
          <w:tcPr>
            <w:tcW w:w="7655" w:type="dxa"/>
            <w:gridSpan w:val="6"/>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b/>
              </w:rPr>
            </w:pPr>
            <w:r>
              <w:rPr>
                <w:b/>
              </w:rPr>
              <w:lastRenderedPageBreak/>
              <w:t>TUBOS CON UNIÓN FLEXIBLE</w:t>
            </w:r>
          </w:p>
        </w:tc>
      </w:tr>
      <w:tr w:rsidR="00C7085E" w:rsidTr="00C01837">
        <w:trPr>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b/>
              </w:rPr>
            </w:pPr>
            <w:r>
              <w:rPr>
                <w:b/>
              </w:rPr>
              <w:t>DN (mm)</w:t>
            </w:r>
          </w:p>
        </w:tc>
        <w:tc>
          <w:tcPr>
            <w:tcW w:w="1276"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rFonts w:cs="Arial"/>
                <w:b/>
                <w:i/>
                <w:sz w:val="18"/>
                <w:szCs w:val="18"/>
              </w:rPr>
            </w:pPr>
            <w:r>
              <w:rPr>
                <w:rFonts w:cs="Arial"/>
                <w:b/>
                <w:i/>
                <w:sz w:val="18"/>
                <w:szCs w:val="18"/>
              </w:rPr>
              <w:t>Clase 30</w:t>
            </w:r>
          </w:p>
        </w:tc>
        <w:tc>
          <w:tcPr>
            <w:tcW w:w="1445"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rFonts w:cs="Arial"/>
                <w:b/>
                <w:i/>
                <w:sz w:val="18"/>
                <w:szCs w:val="18"/>
              </w:rPr>
            </w:pPr>
            <w:r>
              <w:rPr>
                <w:rFonts w:cs="Arial"/>
                <w:b/>
                <w:i/>
                <w:sz w:val="18"/>
                <w:szCs w:val="18"/>
              </w:rPr>
              <w:t>Clase 40</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rFonts w:cs="Arial"/>
                <w:b/>
                <w:i/>
                <w:sz w:val="18"/>
                <w:szCs w:val="18"/>
              </w:rPr>
            </w:pPr>
            <w:r>
              <w:rPr>
                <w:rFonts w:cs="Arial"/>
                <w:b/>
                <w:i/>
                <w:sz w:val="18"/>
                <w:szCs w:val="18"/>
              </w:rPr>
              <w:t>Clase 50</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rFonts w:cs="Arial"/>
                <w:b/>
                <w:i/>
                <w:sz w:val="18"/>
                <w:szCs w:val="18"/>
              </w:rPr>
            </w:pPr>
            <w:r>
              <w:rPr>
                <w:rFonts w:cs="Arial"/>
                <w:b/>
                <w:i/>
                <w:sz w:val="18"/>
                <w:szCs w:val="18"/>
              </w:rPr>
              <w:t>Clase 64</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rFonts w:cs="Arial"/>
                <w:b/>
                <w:i/>
                <w:sz w:val="18"/>
                <w:szCs w:val="18"/>
              </w:rPr>
            </w:pPr>
            <w:r>
              <w:rPr>
                <w:rFonts w:cs="Arial"/>
                <w:b/>
                <w:i/>
                <w:sz w:val="18"/>
                <w:szCs w:val="18"/>
              </w:rPr>
              <w:t>Clase 100</w:t>
            </w:r>
          </w:p>
        </w:tc>
      </w:tr>
      <w:tr w:rsidR="00C7085E" w:rsidTr="0032619C">
        <w:trPr>
          <w:trHeight w:val="172"/>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left"/>
              <w:rPr>
                <w:b/>
                <w:lang w:val="es-ES_tradnl" w:eastAsia="es-ES_tradnl"/>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PFA 30</w:t>
            </w:r>
          </w:p>
        </w:tc>
        <w:tc>
          <w:tcPr>
            <w:tcW w:w="1445"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PFA 40</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PFA 50</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PFA 64</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PFA 100</w:t>
            </w:r>
          </w:p>
        </w:tc>
      </w:tr>
      <w:tr w:rsidR="00C7085E" w:rsidTr="0032619C">
        <w:trPr>
          <w:trHeight w:val="152"/>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left"/>
              <w:rPr>
                <w:b/>
                <w:lang w:val="es-ES_tradnl" w:eastAsia="es-ES_tradnl"/>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PMA 36</w:t>
            </w:r>
          </w:p>
        </w:tc>
        <w:tc>
          <w:tcPr>
            <w:tcW w:w="1445"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PMA 48</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PMA 60</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PMA 76,8</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PMA 120</w:t>
            </w:r>
          </w:p>
        </w:tc>
      </w:tr>
      <w:tr w:rsidR="00C7085E" w:rsidTr="0032619C">
        <w:trPr>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left"/>
              <w:rPr>
                <w:b/>
                <w:lang w:val="es-ES_tradnl" w:eastAsia="es-ES_tradnl"/>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PEA 41</w:t>
            </w:r>
          </w:p>
        </w:tc>
        <w:tc>
          <w:tcPr>
            <w:tcW w:w="1445"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PEA 53</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PEA 65</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PEA 81,8</w:t>
            </w:r>
          </w:p>
        </w:tc>
        <w:tc>
          <w:tcPr>
            <w:tcW w:w="136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right"/>
              <w:rPr>
                <w:rFonts w:cs="Arial"/>
                <w:sz w:val="16"/>
                <w:szCs w:val="16"/>
              </w:rPr>
            </w:pPr>
            <w:r>
              <w:rPr>
                <w:rFonts w:cs="Arial"/>
                <w:sz w:val="16"/>
                <w:szCs w:val="16"/>
              </w:rPr>
              <w:t>PEA 125</w:t>
            </w:r>
          </w:p>
        </w:tc>
      </w:tr>
      <w:tr w:rsidR="00C7085E" w:rsidTr="0032619C">
        <w:trPr>
          <w:trHeight w:val="417"/>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80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100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125</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150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200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250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300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4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Cs w:val="20"/>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350</w:t>
            </w:r>
          </w:p>
        </w:tc>
        <w:tc>
          <w:tcPr>
            <w:tcW w:w="1276"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rPr>
                <w:rFonts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400</w:t>
            </w:r>
          </w:p>
        </w:tc>
        <w:tc>
          <w:tcPr>
            <w:tcW w:w="1276"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rPr>
                <w:rFonts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450</w:t>
            </w:r>
          </w:p>
        </w:tc>
        <w:tc>
          <w:tcPr>
            <w:tcW w:w="1276"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rPr>
                <w:rFonts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500</w:t>
            </w:r>
          </w:p>
        </w:tc>
        <w:tc>
          <w:tcPr>
            <w:tcW w:w="127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600</w:t>
            </w:r>
          </w:p>
        </w:tc>
        <w:tc>
          <w:tcPr>
            <w:tcW w:w="127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700</w:t>
            </w:r>
          </w:p>
        </w:tc>
        <w:tc>
          <w:tcPr>
            <w:tcW w:w="127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800</w:t>
            </w:r>
          </w:p>
        </w:tc>
        <w:tc>
          <w:tcPr>
            <w:tcW w:w="127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right"/>
              <w:rPr>
                <w:rFonts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right"/>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right"/>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right"/>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right"/>
              <w:rPr>
                <w:rFonts w:cs="Arial"/>
                <w:sz w:val="18"/>
                <w:szCs w:val="18"/>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900</w:t>
            </w:r>
          </w:p>
        </w:tc>
        <w:tc>
          <w:tcPr>
            <w:tcW w:w="127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r>
      <w:tr w:rsidR="00C7085E" w:rsidTr="00C01837">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1.000</w:t>
            </w:r>
          </w:p>
        </w:tc>
        <w:tc>
          <w:tcPr>
            <w:tcW w:w="127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7085E" w:rsidRDefault="00C7085E" w:rsidP="00B71B1A">
            <w:pPr>
              <w:keepNext/>
              <w:keepLines/>
              <w:spacing w:before="120" w:after="240" w:line="276" w:lineRule="auto"/>
              <w:ind w:right="-285"/>
              <w:jc w:val="center"/>
              <w:rPr>
                <w:rFonts w:cs="Arial"/>
                <w:sz w:val="18"/>
                <w:szCs w:val="18"/>
              </w:rPr>
            </w:pPr>
          </w:p>
        </w:tc>
      </w:tr>
    </w:tbl>
    <w:p w:rsidR="00C7085E" w:rsidRDefault="00C7085E" w:rsidP="00B71B1A">
      <w:pPr>
        <w:pStyle w:val="Tabla"/>
        <w:keepNext/>
        <w:keepLines/>
        <w:spacing w:before="120" w:line="276" w:lineRule="auto"/>
        <w:ind w:right="-285"/>
      </w:pPr>
      <w:r>
        <w:t>Diámetros y presiones de los tubos de fundición dúctil a emplear</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Materiales</w:t>
      </w:r>
    </w:p>
    <w:p w:rsidR="00C7085E" w:rsidRDefault="00C7085E" w:rsidP="00B71B1A">
      <w:pPr>
        <w:spacing w:before="120" w:after="240" w:line="276" w:lineRule="auto"/>
        <w:ind w:right="-285"/>
      </w:pPr>
      <w:r>
        <w:t>Las características mecánicas de la fundición dúctil empleada en las tuberías deberán cumplir con lo especificado en la siguiente tabla: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276"/>
        <w:gridCol w:w="2104"/>
        <w:gridCol w:w="9"/>
        <w:gridCol w:w="1783"/>
      </w:tblGrid>
      <w:tr w:rsidR="00C7085E" w:rsidTr="00C7085E">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rPr>
                <w:b/>
                <w:sz w:val="18"/>
                <w:szCs w:val="18"/>
              </w:rPr>
            </w:pPr>
            <w:r>
              <w:rPr>
                <w:b/>
                <w:sz w:val="18"/>
                <w:szCs w:val="18"/>
              </w:rPr>
              <w:t>Tipo de pieza</w:t>
            </w:r>
          </w:p>
        </w:tc>
        <w:tc>
          <w:tcPr>
            <w:tcW w:w="2276"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b/>
                <w:sz w:val="18"/>
                <w:szCs w:val="18"/>
              </w:rPr>
            </w:pPr>
            <w:r>
              <w:rPr>
                <w:b/>
                <w:sz w:val="18"/>
                <w:szCs w:val="18"/>
              </w:rPr>
              <w:t>Resistencia mínima a tracción Rm (N/mm</w:t>
            </w:r>
            <w:r>
              <w:rPr>
                <w:b/>
                <w:sz w:val="18"/>
                <w:szCs w:val="18"/>
                <w:vertAlign w:val="superscript"/>
              </w:rPr>
              <w:t>2</w:t>
            </w:r>
            <w:r>
              <w:rPr>
                <w:b/>
                <w:sz w:val="18"/>
                <w:szCs w:val="18"/>
              </w:rPr>
              <w:t>)</w:t>
            </w:r>
          </w:p>
        </w:tc>
        <w:tc>
          <w:tcPr>
            <w:tcW w:w="2113" w:type="dxa"/>
            <w:gridSpan w:val="2"/>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b/>
                <w:sz w:val="18"/>
                <w:szCs w:val="18"/>
              </w:rPr>
            </w:pPr>
            <w:r>
              <w:rPr>
                <w:b/>
                <w:sz w:val="18"/>
                <w:szCs w:val="18"/>
              </w:rPr>
              <w:t>Alargamiento mínimo en rotura A</w:t>
            </w:r>
            <w:r>
              <w:rPr>
                <w:b/>
                <w:sz w:val="18"/>
                <w:szCs w:val="18"/>
                <w:vertAlign w:val="subscript"/>
              </w:rPr>
              <w:t>min</w:t>
            </w:r>
            <w:proofErr w:type="gramStart"/>
            <w:r>
              <w:rPr>
                <w:b/>
                <w:sz w:val="18"/>
                <w:szCs w:val="18"/>
                <w:vertAlign w:val="subscript"/>
              </w:rPr>
              <w:t>,r</w:t>
            </w:r>
            <w:proofErr w:type="gramEnd"/>
            <w:r>
              <w:rPr>
                <w:b/>
                <w:sz w:val="18"/>
                <w:szCs w:val="18"/>
                <w:vertAlign w:val="subscript"/>
              </w:rPr>
              <w:t xml:space="preserve"> </w:t>
            </w:r>
            <w:r>
              <w:rPr>
                <w:b/>
                <w:sz w:val="18"/>
                <w:szCs w:val="18"/>
              </w:rPr>
              <w:t>(%)</w:t>
            </w:r>
          </w:p>
        </w:tc>
        <w:tc>
          <w:tcPr>
            <w:tcW w:w="1783"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b/>
                <w:sz w:val="18"/>
                <w:szCs w:val="18"/>
              </w:rPr>
            </w:pPr>
            <w:r>
              <w:rPr>
                <w:b/>
                <w:sz w:val="18"/>
                <w:szCs w:val="18"/>
              </w:rPr>
              <w:t>Dureza Brinell Máxima, HB</w:t>
            </w:r>
          </w:p>
        </w:tc>
      </w:tr>
      <w:tr w:rsidR="00C7085E" w:rsidTr="00C7085E">
        <w:trPr>
          <w:jc w:val="center"/>
        </w:trPr>
        <w:tc>
          <w:tcPr>
            <w:tcW w:w="2127" w:type="dxa"/>
            <w:tcBorders>
              <w:top w:val="single" w:sz="4" w:space="0" w:color="auto"/>
              <w:left w:val="single" w:sz="4" w:space="0" w:color="auto"/>
              <w:bottom w:val="single" w:sz="4" w:space="0" w:color="auto"/>
              <w:right w:val="single" w:sz="4" w:space="0" w:color="auto"/>
            </w:tcBorders>
            <w:hideMark/>
          </w:tcPr>
          <w:p w:rsidR="00C7085E" w:rsidRDefault="00C7085E" w:rsidP="00B71B1A">
            <w:pPr>
              <w:spacing w:before="120" w:after="240" w:line="276" w:lineRule="auto"/>
              <w:ind w:right="-285"/>
              <w:rPr>
                <w:sz w:val="18"/>
                <w:szCs w:val="18"/>
              </w:rPr>
            </w:pPr>
            <w:r>
              <w:rPr>
                <w:sz w:val="18"/>
                <w:szCs w:val="18"/>
              </w:rPr>
              <w:t>Tubos centrifugados</w:t>
            </w:r>
          </w:p>
        </w:tc>
        <w:tc>
          <w:tcPr>
            <w:tcW w:w="2276"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sz w:val="18"/>
                <w:szCs w:val="18"/>
              </w:rPr>
            </w:pPr>
            <w:r>
              <w:rPr>
                <w:sz w:val="18"/>
                <w:szCs w:val="18"/>
              </w:rPr>
              <w:t>420</w:t>
            </w:r>
          </w:p>
        </w:tc>
        <w:tc>
          <w:tcPr>
            <w:tcW w:w="2104"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sz w:val="18"/>
                <w:szCs w:val="18"/>
              </w:rPr>
            </w:pPr>
            <w:r>
              <w:rPr>
                <w:sz w:val="18"/>
                <w:szCs w:val="18"/>
              </w:rPr>
              <w:t>10</w:t>
            </w:r>
          </w:p>
        </w:tc>
        <w:tc>
          <w:tcPr>
            <w:tcW w:w="1792" w:type="dxa"/>
            <w:gridSpan w:val="2"/>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sz w:val="18"/>
                <w:szCs w:val="18"/>
              </w:rPr>
            </w:pPr>
            <w:r>
              <w:rPr>
                <w:sz w:val="18"/>
                <w:szCs w:val="18"/>
              </w:rPr>
              <w:t>230</w:t>
            </w:r>
          </w:p>
        </w:tc>
      </w:tr>
      <w:tr w:rsidR="00C7085E" w:rsidTr="00C7085E">
        <w:trPr>
          <w:jc w:val="center"/>
        </w:trPr>
        <w:tc>
          <w:tcPr>
            <w:tcW w:w="2127" w:type="dxa"/>
            <w:tcBorders>
              <w:top w:val="single" w:sz="4" w:space="0" w:color="auto"/>
              <w:left w:val="single" w:sz="4" w:space="0" w:color="auto"/>
              <w:bottom w:val="single" w:sz="4" w:space="0" w:color="auto"/>
              <w:right w:val="single" w:sz="4" w:space="0" w:color="auto"/>
            </w:tcBorders>
            <w:hideMark/>
          </w:tcPr>
          <w:p w:rsidR="00C7085E" w:rsidRDefault="00C7085E" w:rsidP="00B71B1A">
            <w:pPr>
              <w:spacing w:before="120" w:after="240" w:line="276" w:lineRule="auto"/>
              <w:ind w:right="-285"/>
              <w:rPr>
                <w:sz w:val="18"/>
                <w:szCs w:val="18"/>
              </w:rPr>
            </w:pPr>
            <w:r>
              <w:rPr>
                <w:sz w:val="18"/>
                <w:szCs w:val="18"/>
              </w:rPr>
              <w:t>Tubos no centrifugados</w:t>
            </w:r>
          </w:p>
        </w:tc>
        <w:tc>
          <w:tcPr>
            <w:tcW w:w="2276"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sz w:val="18"/>
                <w:szCs w:val="18"/>
              </w:rPr>
            </w:pPr>
            <w:r>
              <w:rPr>
                <w:sz w:val="18"/>
                <w:szCs w:val="18"/>
              </w:rPr>
              <w:t>420</w:t>
            </w:r>
          </w:p>
        </w:tc>
        <w:tc>
          <w:tcPr>
            <w:tcW w:w="2104"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sz w:val="18"/>
                <w:szCs w:val="18"/>
              </w:rPr>
            </w:pPr>
            <w:r>
              <w:rPr>
                <w:sz w:val="18"/>
                <w:szCs w:val="18"/>
              </w:rPr>
              <w:t>5</w:t>
            </w:r>
          </w:p>
        </w:tc>
        <w:tc>
          <w:tcPr>
            <w:tcW w:w="1792" w:type="dxa"/>
            <w:gridSpan w:val="2"/>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sz w:val="18"/>
                <w:szCs w:val="18"/>
              </w:rPr>
            </w:pPr>
            <w:r>
              <w:rPr>
                <w:sz w:val="18"/>
                <w:szCs w:val="18"/>
              </w:rPr>
              <w:t>230</w:t>
            </w:r>
          </w:p>
        </w:tc>
      </w:tr>
      <w:tr w:rsidR="00C7085E" w:rsidTr="00C7085E">
        <w:trPr>
          <w:jc w:val="center"/>
        </w:trPr>
        <w:tc>
          <w:tcPr>
            <w:tcW w:w="2127" w:type="dxa"/>
            <w:tcBorders>
              <w:top w:val="single" w:sz="4" w:space="0" w:color="auto"/>
              <w:left w:val="single" w:sz="4" w:space="0" w:color="auto"/>
              <w:bottom w:val="single" w:sz="4" w:space="0" w:color="auto"/>
              <w:right w:val="single" w:sz="4" w:space="0" w:color="auto"/>
            </w:tcBorders>
            <w:hideMark/>
          </w:tcPr>
          <w:p w:rsidR="00C7085E" w:rsidRDefault="00C7085E" w:rsidP="00B71B1A">
            <w:pPr>
              <w:spacing w:before="120" w:after="240" w:line="276" w:lineRule="auto"/>
              <w:ind w:right="-285"/>
              <w:rPr>
                <w:sz w:val="18"/>
                <w:szCs w:val="18"/>
              </w:rPr>
            </w:pPr>
            <w:r>
              <w:rPr>
                <w:sz w:val="18"/>
                <w:szCs w:val="18"/>
              </w:rPr>
              <w:t>Piezas especiales</w:t>
            </w:r>
          </w:p>
        </w:tc>
        <w:tc>
          <w:tcPr>
            <w:tcW w:w="2276"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sz w:val="18"/>
                <w:szCs w:val="18"/>
              </w:rPr>
            </w:pPr>
            <w:r>
              <w:rPr>
                <w:sz w:val="18"/>
                <w:szCs w:val="18"/>
              </w:rPr>
              <w:t>420</w:t>
            </w:r>
          </w:p>
        </w:tc>
        <w:tc>
          <w:tcPr>
            <w:tcW w:w="2104"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sz w:val="18"/>
                <w:szCs w:val="18"/>
              </w:rPr>
            </w:pPr>
            <w:r>
              <w:rPr>
                <w:sz w:val="18"/>
                <w:szCs w:val="18"/>
              </w:rPr>
              <w:t>5</w:t>
            </w:r>
          </w:p>
        </w:tc>
        <w:tc>
          <w:tcPr>
            <w:tcW w:w="1792" w:type="dxa"/>
            <w:gridSpan w:val="2"/>
            <w:tcBorders>
              <w:top w:val="single" w:sz="4" w:space="0" w:color="auto"/>
              <w:left w:val="single" w:sz="4" w:space="0" w:color="auto"/>
              <w:bottom w:val="single" w:sz="4" w:space="0" w:color="auto"/>
              <w:right w:val="single" w:sz="4" w:space="0" w:color="auto"/>
            </w:tcBorders>
            <w:hideMark/>
          </w:tcPr>
          <w:p w:rsidR="00C7085E" w:rsidRDefault="00C7085E" w:rsidP="00B71B1A">
            <w:pPr>
              <w:keepNext/>
              <w:spacing w:before="120" w:after="240" w:line="276" w:lineRule="auto"/>
              <w:ind w:right="-285"/>
              <w:jc w:val="center"/>
              <w:rPr>
                <w:sz w:val="18"/>
                <w:szCs w:val="18"/>
              </w:rPr>
            </w:pPr>
            <w:r>
              <w:rPr>
                <w:sz w:val="18"/>
                <w:szCs w:val="18"/>
              </w:rPr>
              <w:t>250</w:t>
            </w:r>
          </w:p>
        </w:tc>
      </w:tr>
    </w:tbl>
    <w:p w:rsidR="00C7085E" w:rsidRDefault="00C7085E" w:rsidP="00B71B1A">
      <w:pPr>
        <w:pStyle w:val="Tabla"/>
        <w:spacing w:before="120" w:line="276" w:lineRule="auto"/>
        <w:ind w:right="-285"/>
      </w:pPr>
      <w:r>
        <w:t>Características mecánicas de la fundición dúctil a emplear</w:t>
      </w:r>
    </w:p>
    <w:p w:rsidR="00C7085E" w:rsidRDefault="00C7085E" w:rsidP="00B71B1A">
      <w:pPr>
        <w:spacing w:before="120" w:after="240" w:line="276" w:lineRule="auto"/>
        <w:ind w:right="-285"/>
      </w:pPr>
      <w:r>
        <w:t>Para la densidad del material se adopta el valor de 7.050 kg/m</w:t>
      </w:r>
      <w:r>
        <w:rPr>
          <w:vertAlign w:val="superscript"/>
        </w:rPr>
        <w:t>3</w:t>
      </w:r>
      <w:r>
        <w:t xml:space="preserve"> y para el módulo de elasticidad 1,7 x 10</w:t>
      </w:r>
      <w:r>
        <w:rPr>
          <w:vertAlign w:val="superscript"/>
        </w:rPr>
        <w:t>5</w:t>
      </w:r>
      <w:r>
        <w:t xml:space="preserve"> N/mm</w:t>
      </w:r>
      <w:r>
        <w:rPr>
          <w:vertAlign w:val="superscript"/>
        </w:rPr>
        <w:t>2</w:t>
      </w:r>
      <w:r>
        <w:t>.</w:t>
      </w:r>
    </w:p>
    <w:p w:rsidR="00C7085E" w:rsidRDefault="00C7085E" w:rsidP="00B71B1A">
      <w:pPr>
        <w:keepNext/>
        <w:keepLines/>
        <w:spacing w:before="120" w:after="240" w:line="276" w:lineRule="auto"/>
        <w:ind w:right="-285"/>
      </w:pPr>
      <w:r>
        <w:t>Las dimensiones normalizadas de los tubos de fundición con junta flexible serás las indicadas en la tabla adjunta:</w:t>
      </w:r>
    </w:p>
    <w:tbl>
      <w:tblPr>
        <w:tblStyle w:val="Tablaconcuadrcula"/>
        <w:tblW w:w="0" w:type="auto"/>
        <w:tblInd w:w="108" w:type="dxa"/>
        <w:tblLook w:val="04A0" w:firstRow="1" w:lastRow="0" w:firstColumn="1" w:lastColumn="0" w:noHBand="0" w:noVBand="1"/>
      </w:tblPr>
      <w:tblGrid>
        <w:gridCol w:w="1126"/>
        <w:gridCol w:w="1234"/>
        <w:gridCol w:w="1235"/>
        <w:gridCol w:w="1235"/>
        <w:gridCol w:w="1235"/>
        <w:gridCol w:w="1235"/>
        <w:gridCol w:w="1235"/>
      </w:tblGrid>
      <w:tr w:rsidR="00C7085E" w:rsidTr="00C01837">
        <w:trPr>
          <w:tblHeader/>
        </w:trPr>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sz w:val="18"/>
                <w:szCs w:val="18"/>
              </w:rPr>
            </w:pPr>
            <w:r>
              <w:rPr>
                <w:b/>
                <w:sz w:val="18"/>
                <w:szCs w:val="18"/>
              </w:rPr>
              <w:t>Diámetros (mm)</w:t>
            </w:r>
          </w:p>
        </w:tc>
        <w:tc>
          <w:tcPr>
            <w:tcW w:w="617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sz w:val="18"/>
                <w:szCs w:val="18"/>
              </w:rPr>
            </w:pPr>
            <w:r>
              <w:rPr>
                <w:b/>
                <w:sz w:val="18"/>
                <w:szCs w:val="18"/>
              </w:rPr>
              <w:t>Espesor mínimo (mm)</w:t>
            </w:r>
          </w:p>
        </w:tc>
      </w:tr>
      <w:tr w:rsidR="00C7085E" w:rsidTr="00C01837">
        <w:trPr>
          <w:tblHeader/>
        </w:trPr>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sz w:val="18"/>
                <w:szCs w:val="18"/>
              </w:rPr>
            </w:pPr>
            <w:r>
              <w:rPr>
                <w:b/>
                <w:sz w:val="18"/>
                <w:szCs w:val="18"/>
              </w:rPr>
              <w:t>Valor nominal</w:t>
            </w:r>
          </w:p>
        </w:tc>
        <w:tc>
          <w:tcPr>
            <w:tcW w:w="12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i/>
                <w:sz w:val="18"/>
                <w:szCs w:val="18"/>
              </w:rPr>
            </w:pPr>
            <w:r>
              <w:rPr>
                <w:b/>
                <w:i/>
                <w:sz w:val="18"/>
                <w:szCs w:val="18"/>
              </w:rPr>
              <w:t>Clase 30</w:t>
            </w:r>
          </w:p>
        </w:tc>
        <w:tc>
          <w:tcPr>
            <w:tcW w:w="12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i/>
                <w:sz w:val="18"/>
                <w:szCs w:val="18"/>
              </w:rPr>
            </w:pPr>
            <w:r>
              <w:rPr>
                <w:b/>
                <w:i/>
                <w:sz w:val="18"/>
                <w:szCs w:val="18"/>
              </w:rPr>
              <w:t>Clase 40</w:t>
            </w:r>
          </w:p>
        </w:tc>
        <w:tc>
          <w:tcPr>
            <w:tcW w:w="12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i/>
                <w:sz w:val="18"/>
                <w:szCs w:val="18"/>
              </w:rPr>
            </w:pPr>
            <w:r>
              <w:rPr>
                <w:b/>
                <w:i/>
                <w:sz w:val="18"/>
                <w:szCs w:val="18"/>
              </w:rPr>
              <w:t>Clase 50</w:t>
            </w:r>
          </w:p>
        </w:tc>
        <w:tc>
          <w:tcPr>
            <w:tcW w:w="12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i/>
                <w:sz w:val="18"/>
                <w:szCs w:val="18"/>
              </w:rPr>
            </w:pPr>
            <w:r>
              <w:rPr>
                <w:b/>
                <w:i/>
                <w:sz w:val="18"/>
                <w:szCs w:val="18"/>
              </w:rPr>
              <w:t>Clase 64</w:t>
            </w:r>
          </w:p>
        </w:tc>
        <w:tc>
          <w:tcPr>
            <w:tcW w:w="12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i/>
                <w:sz w:val="18"/>
                <w:szCs w:val="18"/>
              </w:rPr>
            </w:pPr>
            <w:r>
              <w:rPr>
                <w:b/>
                <w:i/>
                <w:sz w:val="18"/>
                <w:szCs w:val="18"/>
              </w:rPr>
              <w:t>Clase 100</w:t>
            </w:r>
          </w:p>
        </w:tc>
      </w:tr>
      <w:tr w:rsidR="00C7085E" w:rsidTr="00C01837">
        <w:trPr>
          <w:tblHeader/>
        </w:trPr>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sz w:val="18"/>
                <w:szCs w:val="18"/>
              </w:rPr>
            </w:pPr>
            <w:r>
              <w:rPr>
                <w:b/>
                <w:sz w:val="18"/>
                <w:szCs w:val="18"/>
              </w:rPr>
              <w:t>DN</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sz w:val="18"/>
                <w:szCs w:val="18"/>
              </w:rPr>
            </w:pPr>
            <w:r>
              <w:rPr>
                <w:b/>
                <w:sz w:val="18"/>
                <w:szCs w:val="18"/>
              </w:rPr>
              <w:t>OD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b/>
                <w:i/>
                <w:sz w:val="18"/>
                <w:szCs w:val="18"/>
                <w:lang w:val="es-ES_tradnl" w:eastAsia="es-ES_tradnl"/>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b/>
                <w:i/>
                <w:sz w:val="18"/>
                <w:szCs w:val="18"/>
                <w:lang w:val="es-ES_tradnl" w:eastAsia="es-ES_tradnl"/>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b/>
                <w:i/>
                <w:sz w:val="18"/>
                <w:szCs w:val="18"/>
                <w:lang w:val="es-ES_tradnl" w:eastAsia="es-ES_tradnl"/>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b/>
                <w:i/>
                <w:sz w:val="18"/>
                <w:szCs w:val="18"/>
                <w:lang w:val="es-ES_tradnl" w:eastAsia="es-ES_tradnl"/>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b/>
                <w:i/>
                <w:sz w:val="18"/>
                <w:szCs w:val="18"/>
                <w:lang w:val="es-ES_tradnl" w:eastAsia="es-ES_tradnl"/>
              </w:rPr>
            </w:pP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80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98</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keepLines/>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keepLines/>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keepLines/>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keepLines/>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4,70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100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118</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keepLines/>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keepLines/>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keepLines/>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keepLines/>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 w:val="18"/>
                <w:szCs w:val="18"/>
              </w:rPr>
            </w:pPr>
            <w:r>
              <w:rPr>
                <w:sz w:val="18"/>
                <w:szCs w:val="18"/>
              </w:rPr>
              <w:t>4,70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125</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144</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4,00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5,00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150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170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4,00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5,90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200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222</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3,90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5,00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7,70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250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274</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4,80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6,10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9,50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300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326</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4,60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5,70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7,30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11,20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350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378</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5,30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6,60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8,50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13,00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lastRenderedPageBreak/>
              <w:t>400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429</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6,00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7,50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9,60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14,80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450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480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6,80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8,40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10,70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16,60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500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532</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5,60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7,50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9,30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11,90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18,30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600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635</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6,70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8,90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11,10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14,20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21,90</w:t>
            </w: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700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738</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7,80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10,40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13,00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16,50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800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842</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8,90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11,90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14,80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18,80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900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945</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10,00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13,30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16,60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r>
      <w:tr w:rsidR="00C7085E" w:rsidTr="00C7085E">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8"/>
                <w:szCs w:val="18"/>
              </w:rPr>
            </w:pPr>
            <w:r>
              <w:rPr>
                <w:sz w:val="18"/>
                <w:szCs w:val="18"/>
              </w:rPr>
              <w:t>1000</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1048</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11,10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14,80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sz w:val="18"/>
                <w:szCs w:val="18"/>
              </w:rPr>
            </w:pPr>
            <w:r>
              <w:rPr>
                <w:sz w:val="18"/>
                <w:szCs w:val="18"/>
              </w:rPr>
              <w:t>18,40</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keepNext/>
              <w:spacing w:before="120" w:after="240" w:line="276" w:lineRule="auto"/>
              <w:ind w:right="-285"/>
              <w:jc w:val="center"/>
              <w:rPr>
                <w:sz w:val="18"/>
                <w:szCs w:val="18"/>
              </w:rPr>
            </w:pPr>
          </w:p>
        </w:tc>
      </w:tr>
    </w:tbl>
    <w:p w:rsidR="00C7085E" w:rsidRDefault="00C7085E" w:rsidP="00B71B1A">
      <w:pPr>
        <w:pStyle w:val="Tabla"/>
        <w:spacing w:before="120" w:line="276" w:lineRule="auto"/>
        <w:ind w:right="-285"/>
      </w:pPr>
      <w:r>
        <w:t>Diámetros y espesores de los tubos de fundición dúctil a emplear</w:t>
      </w:r>
    </w:p>
    <w:p w:rsidR="00C7085E" w:rsidRDefault="00C7085E" w:rsidP="00B71B1A">
      <w:pPr>
        <w:spacing w:before="120" w:after="240" w:line="276" w:lineRule="auto"/>
        <w:ind w:right="-285"/>
      </w:pPr>
      <w:r>
        <w:t>Los tubos, uniones y piezas especiales deberán ser sanos y exentos de defectos de superficie y de cualquier otro tipo que pueda tener influencia en su resistencia y comportamiento.</w:t>
      </w:r>
    </w:p>
    <w:p w:rsidR="00C7085E" w:rsidRDefault="00C7085E" w:rsidP="00B71B1A">
      <w:pPr>
        <w:spacing w:before="120" w:after="240" w:line="276" w:lineRule="auto"/>
        <w:ind w:right="-285"/>
      </w:pPr>
      <w:r>
        <w:t>Todos los tubos se protegerán contra la corrosión mediante revestimientos adecuados, los cuales recubrirán uniformemente la totalidad de sus contornos, constituyendo superficies lisas y regulares, exentas de defectos tales como cavidades o burbujas.</w:t>
      </w:r>
    </w:p>
    <w:p w:rsidR="00C7085E" w:rsidRDefault="00C7085E" w:rsidP="00B71B1A">
      <w:pPr>
        <w:spacing w:before="120" w:after="240" w:line="276" w:lineRule="auto"/>
        <w:ind w:right="-285"/>
      </w:pPr>
      <w:r>
        <w:t>Salvo indicación contraria por parte de la Dirección de Obra, todos los tubos, en función de su uso, se suministrarán con las siguientes protecciones:</w:t>
      </w: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tbl>
      <w:tblPr>
        <w:tblStyle w:val="Tablaconcuadrcula"/>
        <w:tblW w:w="0" w:type="auto"/>
        <w:tblInd w:w="392" w:type="dxa"/>
        <w:tblBorders>
          <w:left w:val="none" w:sz="0" w:space="0" w:color="auto"/>
          <w:right w:val="none" w:sz="0" w:space="0" w:color="auto"/>
          <w:insideH w:val="none" w:sz="0" w:space="0" w:color="auto"/>
        </w:tblBorders>
        <w:tblLook w:val="04A0" w:firstRow="1" w:lastRow="0" w:firstColumn="1" w:lastColumn="0" w:noHBand="0" w:noVBand="1"/>
      </w:tblPr>
      <w:tblGrid>
        <w:gridCol w:w="2551"/>
        <w:gridCol w:w="5700"/>
      </w:tblGrid>
      <w:tr w:rsidR="00C7085E" w:rsidTr="00C7085E">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left"/>
            </w:pPr>
            <w:r>
              <w:lastRenderedPageBreak/>
              <w:t>Redes de abastecimiento:</w:t>
            </w:r>
          </w:p>
        </w:tc>
        <w:tc>
          <w:tcPr>
            <w:tcW w:w="5700" w:type="dxa"/>
            <w:tcBorders>
              <w:top w:val="single" w:sz="4" w:space="0" w:color="auto"/>
              <w:left w:val="single" w:sz="4" w:space="0" w:color="auto"/>
              <w:bottom w:val="nil"/>
              <w:right w:val="single" w:sz="4" w:space="0" w:color="auto"/>
            </w:tcBorders>
            <w:vAlign w:val="center"/>
            <w:hideMark/>
          </w:tcPr>
          <w:p w:rsidR="00C7085E" w:rsidRDefault="00C7085E" w:rsidP="00B71B1A">
            <w:pPr>
              <w:keepNext/>
              <w:spacing w:before="120" w:after="240" w:line="276" w:lineRule="auto"/>
              <w:ind w:right="-285"/>
              <w:rPr>
                <w:szCs w:val="20"/>
              </w:rPr>
            </w:pPr>
            <w:r>
              <w:rPr>
                <w:szCs w:val="20"/>
              </w:rPr>
              <w:t>Revestimiento exterior de cinc metálico con capa de acabado de barniz bituminoso</w:t>
            </w:r>
          </w:p>
        </w:tc>
      </w:tr>
      <w:tr w:rsidR="00C7085E" w:rsidTr="00C7085E">
        <w:tc>
          <w:tcPr>
            <w:tcW w:w="0" w:type="auto"/>
            <w:vMerge/>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left"/>
              <w:rPr>
                <w:lang w:val="es-ES_tradnl" w:eastAsia="es-ES_tradnl"/>
              </w:rPr>
            </w:pPr>
          </w:p>
        </w:tc>
        <w:tc>
          <w:tcPr>
            <w:tcW w:w="5700" w:type="dxa"/>
            <w:tcBorders>
              <w:top w:val="nil"/>
              <w:left w:val="single" w:sz="4" w:space="0" w:color="auto"/>
              <w:bottom w:val="single" w:sz="4" w:space="0" w:color="auto"/>
              <w:right w:val="single" w:sz="4" w:space="0" w:color="auto"/>
            </w:tcBorders>
            <w:vAlign w:val="center"/>
            <w:hideMark/>
          </w:tcPr>
          <w:p w:rsidR="00C7085E" w:rsidRDefault="00C7085E" w:rsidP="00B71B1A">
            <w:pPr>
              <w:keepNext/>
              <w:spacing w:before="120" w:after="240" w:line="276" w:lineRule="auto"/>
              <w:ind w:right="-285"/>
              <w:rPr>
                <w:szCs w:val="20"/>
              </w:rPr>
            </w:pPr>
            <w:r>
              <w:rPr>
                <w:szCs w:val="20"/>
              </w:rPr>
              <w:t>Revestimiento interior de mortero de cemento</w:t>
            </w:r>
          </w:p>
        </w:tc>
      </w:tr>
      <w:tr w:rsidR="00C7085E" w:rsidTr="00C7085E">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rPr>
                <w:szCs w:val="20"/>
              </w:rPr>
            </w:pPr>
            <w:r>
              <w:t>Redes de reutilización</w:t>
            </w:r>
            <w:r>
              <w:rPr>
                <w:szCs w:val="20"/>
              </w:rPr>
              <w:t>:</w:t>
            </w:r>
          </w:p>
        </w:tc>
        <w:tc>
          <w:tcPr>
            <w:tcW w:w="5700" w:type="dxa"/>
            <w:tcBorders>
              <w:top w:val="single" w:sz="4" w:space="0" w:color="auto"/>
              <w:left w:val="single" w:sz="4" w:space="0" w:color="auto"/>
              <w:bottom w:val="nil"/>
              <w:right w:val="single" w:sz="4" w:space="0" w:color="auto"/>
            </w:tcBorders>
            <w:vAlign w:val="center"/>
            <w:hideMark/>
          </w:tcPr>
          <w:p w:rsidR="00C7085E" w:rsidRDefault="00C7085E" w:rsidP="00B71B1A">
            <w:pPr>
              <w:keepNext/>
              <w:spacing w:before="120" w:after="240" w:line="276" w:lineRule="auto"/>
              <w:ind w:right="-285"/>
              <w:rPr>
                <w:szCs w:val="20"/>
              </w:rPr>
            </w:pPr>
            <w:r>
              <w:rPr>
                <w:szCs w:val="20"/>
              </w:rPr>
              <w:t>Revestimiento exterior de cinc metálico con capa de acabado de pintura epoxi</w:t>
            </w:r>
          </w:p>
        </w:tc>
      </w:tr>
      <w:tr w:rsidR="00C7085E" w:rsidTr="00C7085E">
        <w:tc>
          <w:tcPr>
            <w:tcW w:w="0" w:type="auto"/>
            <w:vMerge/>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left"/>
              <w:rPr>
                <w:szCs w:val="20"/>
                <w:lang w:val="es-ES_tradnl" w:eastAsia="es-ES_tradnl"/>
              </w:rPr>
            </w:pPr>
          </w:p>
        </w:tc>
        <w:tc>
          <w:tcPr>
            <w:tcW w:w="5700" w:type="dxa"/>
            <w:tcBorders>
              <w:top w:val="nil"/>
              <w:left w:val="single" w:sz="4" w:space="0" w:color="auto"/>
              <w:bottom w:val="single" w:sz="4" w:space="0" w:color="auto"/>
              <w:right w:val="single" w:sz="4" w:space="0" w:color="auto"/>
            </w:tcBorders>
            <w:vAlign w:val="center"/>
            <w:hideMark/>
          </w:tcPr>
          <w:p w:rsidR="00C7085E" w:rsidRDefault="00C7085E" w:rsidP="00B71B1A">
            <w:pPr>
              <w:keepNext/>
              <w:spacing w:before="120" w:after="240" w:line="276" w:lineRule="auto"/>
              <w:ind w:right="-285"/>
            </w:pPr>
            <w:r>
              <w:rPr>
                <w:szCs w:val="20"/>
              </w:rPr>
              <w:t>Revestimiento interior de mortero de cemento</w:t>
            </w:r>
          </w:p>
        </w:tc>
      </w:tr>
    </w:tbl>
    <w:p w:rsidR="00C7085E" w:rsidRDefault="00C7085E" w:rsidP="00B71B1A">
      <w:pPr>
        <w:pStyle w:val="Tabla"/>
        <w:spacing w:before="120" w:line="276" w:lineRule="auto"/>
        <w:ind w:right="-285"/>
      </w:pPr>
      <w:r>
        <w:t>Protecciones de los tubos de fundición dúctil en función de su uso</w:t>
      </w:r>
    </w:p>
    <w:p w:rsidR="00C7085E" w:rsidRDefault="00C7085E" w:rsidP="00B71B1A">
      <w:pPr>
        <w:spacing w:before="120" w:after="240" w:line="276" w:lineRule="auto"/>
        <w:ind w:right="-285"/>
        <w:rPr>
          <w:szCs w:val="22"/>
        </w:rPr>
      </w:pPr>
      <w:r>
        <w:rPr>
          <w:szCs w:val="22"/>
        </w:rPr>
        <w:t>En cualquier caso, los revestimientos aplicados cumplirán con lo especificado para los mismos en la norma UNE-EN 545.</w:t>
      </w:r>
    </w:p>
    <w:p w:rsidR="00C7085E" w:rsidRDefault="00C7085E" w:rsidP="00B71B1A">
      <w:pPr>
        <w:spacing w:before="120" w:after="240" w:line="276" w:lineRule="auto"/>
        <w:ind w:right="-285"/>
        <w:rPr>
          <w:szCs w:val="22"/>
        </w:rPr>
      </w:pPr>
      <w:r>
        <w:rPr>
          <w:szCs w:val="22"/>
        </w:rPr>
        <w:t>La elección del revestimiento exterior se realizará en función de la agresividad del suelo que rodee la conducción, por este motivo, antes de su instalación, el Adjudicatario deberá realizar un estudio de las características electroquímicas de los terrenos por donde discurrirá, por si fuera preciso prever en algún tramo una protección adicional.</w:t>
      </w:r>
    </w:p>
    <w:p w:rsidR="00C7085E" w:rsidRDefault="00C7085E" w:rsidP="00B71B1A">
      <w:pPr>
        <w:spacing w:before="120" w:after="240" w:line="276" w:lineRule="auto"/>
        <w:ind w:right="-285"/>
        <w:rPr>
          <w:szCs w:val="22"/>
        </w:rPr>
      </w:pPr>
      <w:r>
        <w:rPr>
          <w:szCs w:val="22"/>
        </w:rPr>
        <w:t xml:space="preserve">Los tubos para redes de abastecimiento serán de color negro, mientras que los tubos para redes de agua regenerada deberán ir pintados exteriormente de color morado (RAL 4001 ó 4005 o PANTONE 2577 U). </w:t>
      </w:r>
    </w:p>
    <w:p w:rsidR="00C7085E" w:rsidRDefault="00C7085E" w:rsidP="00B71B1A">
      <w:pPr>
        <w:spacing w:before="120" w:after="240" w:line="276" w:lineRule="auto"/>
        <w:ind w:right="-285"/>
        <w:rPr>
          <w:szCs w:val="22"/>
        </w:rPr>
      </w:pPr>
      <w:r>
        <w:rPr>
          <w:szCs w:val="22"/>
        </w:rPr>
        <w:t>Todos los tubos deberán ir marcados, de forma fácilmente legible y durable, con la siguiente identificación como mínimo:</w:t>
      </w:r>
    </w:p>
    <w:p w:rsidR="00C7085E" w:rsidRDefault="00C7085E" w:rsidP="00B71B1A">
      <w:pPr>
        <w:widowControl/>
        <w:numPr>
          <w:ilvl w:val="0"/>
          <w:numId w:val="12"/>
        </w:numPr>
        <w:spacing w:before="120" w:after="240" w:line="276" w:lineRule="auto"/>
        <w:ind w:left="714" w:right="-285" w:hanging="357"/>
      </w:pPr>
      <w:r>
        <w:t>Nombre o marca del fabricante.</w:t>
      </w:r>
    </w:p>
    <w:p w:rsidR="00C7085E" w:rsidRDefault="00C7085E" w:rsidP="00B71B1A">
      <w:pPr>
        <w:widowControl/>
        <w:numPr>
          <w:ilvl w:val="0"/>
          <w:numId w:val="12"/>
        </w:numPr>
        <w:spacing w:before="120" w:after="240" w:line="276" w:lineRule="auto"/>
        <w:ind w:left="714" w:right="-285" w:hanging="357"/>
      </w:pPr>
      <w:r>
        <w:t>Identificación del año de fabricación.</w:t>
      </w:r>
    </w:p>
    <w:p w:rsidR="00C7085E" w:rsidRDefault="00C7085E" w:rsidP="00B71B1A">
      <w:pPr>
        <w:widowControl/>
        <w:numPr>
          <w:ilvl w:val="0"/>
          <w:numId w:val="12"/>
        </w:numPr>
        <w:spacing w:before="120" w:after="240" w:line="276" w:lineRule="auto"/>
        <w:ind w:left="714" w:right="-285" w:hanging="357"/>
      </w:pPr>
      <w:r>
        <w:t>Identificación como fundición dúctil.</w:t>
      </w:r>
    </w:p>
    <w:p w:rsidR="00C7085E" w:rsidRDefault="00C7085E" w:rsidP="00B71B1A">
      <w:pPr>
        <w:widowControl/>
        <w:numPr>
          <w:ilvl w:val="0"/>
          <w:numId w:val="12"/>
        </w:numPr>
        <w:spacing w:before="120" w:after="240" w:line="276" w:lineRule="auto"/>
        <w:ind w:left="714" w:right="-285" w:hanging="357"/>
      </w:pPr>
      <w:r>
        <w:t>Diámetro nominal, DN.</w:t>
      </w:r>
    </w:p>
    <w:p w:rsidR="00C7085E" w:rsidRDefault="00C7085E" w:rsidP="00B71B1A">
      <w:pPr>
        <w:widowControl/>
        <w:numPr>
          <w:ilvl w:val="0"/>
          <w:numId w:val="12"/>
        </w:numPr>
        <w:spacing w:before="120" w:after="240" w:line="276" w:lineRule="auto"/>
        <w:ind w:left="714" w:right="-285" w:hanging="357"/>
      </w:pPr>
      <w:r>
        <w:t>PN (rating) de las bridas para componentes bridados.</w:t>
      </w:r>
    </w:p>
    <w:p w:rsidR="00C7085E" w:rsidRDefault="00C7085E" w:rsidP="00B71B1A">
      <w:pPr>
        <w:widowControl/>
        <w:numPr>
          <w:ilvl w:val="0"/>
          <w:numId w:val="12"/>
        </w:numPr>
        <w:spacing w:before="120" w:after="240" w:line="276" w:lineRule="auto"/>
        <w:ind w:left="714" w:right="-285" w:hanging="357"/>
      </w:pPr>
      <w:r>
        <w:t>Referencia a la norma EN 545.</w:t>
      </w:r>
    </w:p>
    <w:p w:rsidR="00C7085E" w:rsidRDefault="00C7085E" w:rsidP="00B71B1A">
      <w:pPr>
        <w:widowControl/>
        <w:numPr>
          <w:ilvl w:val="0"/>
          <w:numId w:val="12"/>
        </w:numPr>
        <w:spacing w:before="120" w:after="240" w:line="276" w:lineRule="auto"/>
        <w:ind w:left="714" w:right="-285" w:hanging="357"/>
      </w:pPr>
      <w:r>
        <w:t>Clase de presión de los tubos centrifugados.</w:t>
      </w:r>
    </w:p>
    <w:p w:rsidR="00C7085E" w:rsidRDefault="00C7085E" w:rsidP="00B71B1A">
      <w:pPr>
        <w:widowControl/>
        <w:numPr>
          <w:ilvl w:val="0"/>
          <w:numId w:val="12"/>
        </w:numPr>
        <w:spacing w:before="120" w:after="240" w:line="276" w:lineRule="auto"/>
        <w:ind w:left="714" w:right="-285" w:hanging="357"/>
        <w:rPr>
          <w:szCs w:val="22"/>
        </w:rPr>
      </w:pPr>
      <w:r>
        <w:rPr>
          <w:szCs w:val="22"/>
        </w:rPr>
        <w:t>Identificación del certificado de producto emitido por tercera parte.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szCs w:val="20"/>
        </w:rPr>
      </w:pPr>
      <w:r>
        <w:t>Ejecución</w:t>
      </w:r>
    </w:p>
    <w:p w:rsidR="00C7085E" w:rsidRDefault="00C7085E" w:rsidP="00B71B1A">
      <w:pPr>
        <w:spacing w:before="120" w:after="240" w:line="276" w:lineRule="auto"/>
        <w:ind w:right="-285"/>
      </w:pPr>
      <w:r>
        <w:t xml:space="preserve">Con carácter general, los sistemas de unión de los tubos de fundición serán del tipo flexible automática sin acerrojar. Adicionalmente y siempre y cuando lo apruebe la Dirección de </w:t>
      </w:r>
      <w:r>
        <w:lastRenderedPageBreak/>
        <w:t>Obra, se podrán emplear los siguientes tipos:</w:t>
      </w:r>
    </w:p>
    <w:p w:rsidR="00C7085E" w:rsidRDefault="00C7085E" w:rsidP="00B71B1A">
      <w:pPr>
        <w:widowControl/>
        <w:numPr>
          <w:ilvl w:val="0"/>
          <w:numId w:val="12"/>
        </w:numPr>
        <w:spacing w:before="120" w:after="240" w:line="276" w:lineRule="auto"/>
        <w:ind w:left="714" w:right="-285" w:hanging="357"/>
      </w:pPr>
      <w:r>
        <w:t>Unión flexible</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Automática (acerrojada)</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Mecánica (sin acerrojar o acerrojada)</w:t>
      </w:r>
    </w:p>
    <w:p w:rsidR="00C7085E" w:rsidRDefault="00C7085E" w:rsidP="00B71B1A">
      <w:pPr>
        <w:widowControl/>
        <w:numPr>
          <w:ilvl w:val="0"/>
          <w:numId w:val="12"/>
        </w:numPr>
        <w:spacing w:before="120" w:after="240" w:line="276" w:lineRule="auto"/>
        <w:ind w:left="714" w:right="-285" w:hanging="357"/>
        <w:rPr>
          <w:lang w:val="es-ES_tradnl"/>
        </w:rPr>
      </w:pPr>
      <w:r>
        <w:t>Unión rígida (embridada)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Para el control de calidad de la fabricación de las tuberías de fundición dúctil será de aplicación lo especificado en la norma UNE-EN 545.</w:t>
      </w:r>
    </w:p>
    <w:p w:rsidR="00C7085E" w:rsidRDefault="00C7085E" w:rsidP="00B71B1A">
      <w:pPr>
        <w:keepNext/>
        <w:keepLines/>
        <w:spacing w:before="120" w:after="240" w:line="276" w:lineRule="auto"/>
        <w:ind w:right="-285"/>
        <w:rPr>
          <w:u w:val="single"/>
        </w:rPr>
      </w:pPr>
      <w:r>
        <w:rPr>
          <w:u w:val="single"/>
        </w:rPr>
        <w:t>Tolerancias</w:t>
      </w:r>
    </w:p>
    <w:p w:rsidR="00C7085E" w:rsidRDefault="00C7085E" w:rsidP="00B71B1A">
      <w:pPr>
        <w:keepNext/>
        <w:keepLines/>
        <w:spacing w:before="120" w:after="240" w:line="276" w:lineRule="auto"/>
        <w:ind w:right="-285"/>
      </w:pPr>
      <w:r>
        <w:t>Los valores mínimos de la desviación angular admisible en las uniones flexibles serán:</w:t>
      </w:r>
    </w:p>
    <w:tbl>
      <w:tblPr>
        <w:tblStyle w:val="Tablaconcuadrcula"/>
        <w:tblW w:w="0" w:type="auto"/>
        <w:jc w:val="center"/>
        <w:tblLook w:val="04A0" w:firstRow="1" w:lastRow="0" w:firstColumn="1" w:lastColumn="0" w:noHBand="0" w:noVBand="1"/>
      </w:tblPr>
      <w:tblGrid>
        <w:gridCol w:w="3015"/>
        <w:gridCol w:w="1904"/>
        <w:gridCol w:w="1848"/>
      </w:tblGrid>
      <w:tr w:rsidR="00C7085E" w:rsidTr="00C7085E">
        <w:trPr>
          <w:jc w:val="center"/>
        </w:trPr>
        <w:tc>
          <w:tcPr>
            <w:tcW w:w="301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DN (mm)</w:t>
            </w:r>
          </w:p>
        </w:tc>
        <w:tc>
          <w:tcPr>
            <w:tcW w:w="37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i/>
                <w:szCs w:val="20"/>
              </w:rPr>
            </w:pPr>
            <w:r>
              <w:rPr>
                <w:b/>
                <w:i/>
                <w:szCs w:val="20"/>
              </w:rPr>
              <w:t>Tipo de unión</w:t>
            </w:r>
          </w:p>
        </w:tc>
      </w:tr>
      <w:tr w:rsidR="00C7085E" w:rsidTr="00C7085E">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b/>
                <w:lang w:val="es-ES_tradnl" w:eastAsia="es-ES_tradnl"/>
              </w:rPr>
            </w:pP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i/>
                <w:szCs w:val="20"/>
              </w:rPr>
            </w:pPr>
            <w:r>
              <w:rPr>
                <w:b/>
                <w:i/>
                <w:szCs w:val="20"/>
              </w:rPr>
              <w:t>Sin acerrojar</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i/>
                <w:szCs w:val="20"/>
              </w:rPr>
            </w:pPr>
            <w:r>
              <w:rPr>
                <w:b/>
                <w:i/>
                <w:szCs w:val="20"/>
              </w:rPr>
              <w:t>Acerrojadas</w:t>
            </w:r>
          </w:p>
        </w:tc>
      </w:tr>
      <w:tr w:rsidR="00C7085E" w:rsidTr="00C7085E">
        <w:trPr>
          <w:jc w:val="center"/>
        </w:trPr>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 xml:space="preserve">DN </w:t>
            </w:r>
            <w:r>
              <w:rPr>
                <w:rFonts w:cs="Arial"/>
              </w:rPr>
              <w:t>≤</w:t>
            </w:r>
            <w:r>
              <w:t xml:space="preserve"> 300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Cs w:val="20"/>
              </w:rPr>
            </w:pPr>
            <w:r>
              <w:rPr>
                <w:szCs w:val="20"/>
              </w:rPr>
              <w:t>3º 30´</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Cs w:val="20"/>
              </w:rPr>
            </w:pPr>
            <w:r>
              <w:rPr>
                <w:szCs w:val="20"/>
              </w:rPr>
              <w:t>1º 45´</w:t>
            </w:r>
          </w:p>
        </w:tc>
      </w:tr>
      <w:tr w:rsidR="00C7085E" w:rsidTr="00C7085E">
        <w:trPr>
          <w:jc w:val="center"/>
        </w:trPr>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 xml:space="preserve">350 </w:t>
            </w:r>
            <w:r>
              <w:rPr>
                <w:rFonts w:cs="Arial"/>
              </w:rPr>
              <w:t>≤</w:t>
            </w:r>
            <w:r>
              <w:t xml:space="preserve"> DN </w:t>
            </w:r>
            <w:r>
              <w:rPr>
                <w:rFonts w:cs="Arial"/>
              </w:rPr>
              <w:t>≤</w:t>
            </w:r>
            <w:r>
              <w:t xml:space="preserve"> 600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Cs w:val="20"/>
              </w:rPr>
            </w:pPr>
            <w:r>
              <w:rPr>
                <w:szCs w:val="20"/>
              </w:rPr>
              <w:t>2º 30´</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Cs w:val="20"/>
              </w:rPr>
            </w:pPr>
            <w:r>
              <w:rPr>
                <w:szCs w:val="20"/>
              </w:rPr>
              <w:t>1º 15´</w:t>
            </w:r>
          </w:p>
        </w:tc>
      </w:tr>
      <w:tr w:rsidR="00C7085E" w:rsidTr="00C7085E">
        <w:trPr>
          <w:jc w:val="center"/>
        </w:trPr>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 xml:space="preserve">700 </w:t>
            </w:r>
            <w:r>
              <w:rPr>
                <w:rFonts w:cs="Arial"/>
              </w:rPr>
              <w:t>≤</w:t>
            </w:r>
            <w:r>
              <w:t xml:space="preserve"> DN </w:t>
            </w:r>
            <w:r>
              <w:rPr>
                <w:rFonts w:cs="Arial"/>
              </w:rPr>
              <w:t>≤</w:t>
            </w:r>
            <w:r>
              <w:t xml:space="preserve"> 1000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Cs w:val="20"/>
              </w:rPr>
            </w:pPr>
            <w:r>
              <w:rPr>
                <w:szCs w:val="20"/>
              </w:rPr>
              <w:t>1º 30´</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szCs w:val="20"/>
              </w:rPr>
            </w:pPr>
            <w:r>
              <w:rPr>
                <w:szCs w:val="20"/>
              </w:rPr>
              <w:t>45</w:t>
            </w:r>
          </w:p>
        </w:tc>
      </w:tr>
    </w:tbl>
    <w:p w:rsidR="00C7085E" w:rsidRDefault="00C7085E" w:rsidP="00B71B1A">
      <w:pPr>
        <w:pStyle w:val="Tabla"/>
        <w:spacing w:before="120" w:line="276" w:lineRule="auto"/>
        <w:ind w:right="-285"/>
      </w:pPr>
      <w:r>
        <w:t>Desviación angular en uniones flexibles (UNE-EN 545)</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tuberías de fundición dúctil se medirán por metros (m) de conducción totalmente terminada y probada en obra, según los precios que figuren en el Cuadro de Precios vigente de Canal de Isabel II Gestión.</w:t>
      </w:r>
    </w:p>
    <w:p w:rsidR="00C7085E" w:rsidRDefault="00C7085E" w:rsidP="00B71B1A">
      <w:pPr>
        <w:spacing w:before="120" w:after="240" w:line="276" w:lineRule="auto"/>
        <w:ind w:right="-285"/>
      </w:pPr>
      <w:r>
        <w:t>El precio al que se abonará cada tubería será el que corresponda a su diámetro, clase, revestimiento interior y exterior y tipología de junta.</w:t>
      </w:r>
    </w:p>
    <w:p w:rsidR="00C7085E" w:rsidRDefault="00C7085E" w:rsidP="00B71B1A">
      <w:pPr>
        <w:spacing w:before="120" w:after="240" w:line="276" w:lineRule="auto"/>
        <w:ind w:right="-285"/>
      </w:pPr>
      <w:bookmarkStart w:id="189" w:name="_Toc414021803"/>
      <w:r>
        <w:t>En los precios se consideran incluidos los medios auxiliares y las pruebas necesarias para el correcto funcionamiento de la tubería.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90" w:name="_Toc448741425"/>
      <w:r>
        <w:t xml:space="preserve">Tubería de fundición dúctil para redes de </w:t>
      </w:r>
      <w:bookmarkEnd w:id="189"/>
      <w:r>
        <w:t>saneamiento</w:t>
      </w:r>
      <w:bookmarkEnd w:id="190"/>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rPr>
          <w:i/>
        </w:rPr>
      </w:pPr>
      <w:r>
        <w:t xml:space="preserve">Los tubos de fundición dúctil objeto del presente artículo se emplearán en redes de </w:t>
      </w:r>
      <w:r>
        <w:lastRenderedPageBreak/>
        <w:t>saneamiento y deberán cumplir con lo especificado para los mismos en la norma UNE-EN 598. “</w:t>
      </w:r>
      <w:r>
        <w:rPr>
          <w:i/>
        </w:rPr>
        <w:t>Tuberías, accesorios y piezas especiales de fundición dúctil y sus uniones para aplicaciones de saneamiento. Requisitos y métodos de ensayo.”</w:t>
      </w:r>
    </w:p>
    <w:p w:rsidR="00C7085E" w:rsidRDefault="00C7085E" w:rsidP="00B71B1A">
      <w:pPr>
        <w:spacing w:before="120" w:after="240" w:line="276" w:lineRule="auto"/>
        <w:ind w:right="-285"/>
      </w:pPr>
      <w:r>
        <w:t>La serie de diámetros, en milímetros, a utilizar será:</w:t>
      </w:r>
    </w:p>
    <w:p w:rsidR="00C7085E" w:rsidRDefault="00C7085E" w:rsidP="00B71B1A">
      <w:pPr>
        <w:spacing w:before="120" w:after="240" w:line="276" w:lineRule="auto"/>
        <w:ind w:right="-285"/>
        <w:jc w:val="center"/>
      </w:pPr>
      <w:r>
        <w:t>150, 200, 250, 300, 350, 400, 450, 500, 600, 700, 800, 900, 1.000, 1.100, 1.200, 1.400, 1.500, 1.600, 1.800 y 2.000.</w:t>
      </w:r>
    </w:p>
    <w:p w:rsidR="00C7085E" w:rsidRDefault="00C7085E" w:rsidP="00B71B1A">
      <w:pPr>
        <w:spacing w:before="120" w:after="240" w:line="276" w:lineRule="auto"/>
        <w:ind w:right="-285"/>
      </w:pPr>
      <w:r>
        <w:t>Los tubos de fundición dúctil se clasificarán por su diámetro nominal (DN), refiriéndose éste aproximadamente a su diámetro interior (ID), estando normalizado el espesor de la pared del tubo para cada diámetro nominal.</w:t>
      </w:r>
    </w:p>
    <w:p w:rsidR="00C7085E" w:rsidRDefault="00C7085E" w:rsidP="00B71B1A">
      <w:pPr>
        <w:keepNext/>
        <w:keepLines/>
        <w:spacing w:before="120" w:after="240" w:line="276" w:lineRule="auto"/>
        <w:ind w:right="-285"/>
      </w:pPr>
      <w:r>
        <w:t>Las características mecánicas de la fundición dúctil empleada en las tuberías deberán cumplir con lo especificado en la siguiente tabla:</w:t>
      </w:r>
    </w:p>
    <w:tbl>
      <w:tblPr>
        <w:tblW w:w="8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185"/>
        <w:gridCol w:w="1204"/>
        <w:gridCol w:w="1104"/>
        <w:gridCol w:w="1456"/>
      </w:tblGrid>
      <w:tr w:rsidR="00C7085E" w:rsidTr="00C7085E">
        <w:trPr>
          <w:tblHeader/>
          <w:jc w:val="center"/>
        </w:trPr>
        <w:tc>
          <w:tcPr>
            <w:tcW w:w="2183" w:type="dxa"/>
            <w:vMerge w:val="restart"/>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b/>
                <w:sz w:val="18"/>
                <w:szCs w:val="18"/>
              </w:rPr>
            </w:pPr>
            <w:r>
              <w:rPr>
                <w:b/>
                <w:sz w:val="18"/>
                <w:szCs w:val="18"/>
              </w:rPr>
              <w:t>Tipo de pieza</w:t>
            </w:r>
          </w:p>
        </w:tc>
        <w:tc>
          <w:tcPr>
            <w:tcW w:w="2185" w:type="dxa"/>
            <w:vMerge w:val="restart"/>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keepNext/>
              <w:keepLines/>
              <w:spacing w:before="120" w:after="240" w:line="276" w:lineRule="auto"/>
              <w:ind w:right="-285"/>
              <w:jc w:val="center"/>
              <w:rPr>
                <w:b/>
                <w:sz w:val="18"/>
                <w:szCs w:val="18"/>
              </w:rPr>
            </w:pPr>
            <w:r>
              <w:rPr>
                <w:b/>
                <w:sz w:val="18"/>
                <w:szCs w:val="18"/>
              </w:rPr>
              <w:t>Resistencia mínima a la tracción R</w:t>
            </w:r>
            <w:r>
              <w:rPr>
                <w:b/>
                <w:sz w:val="18"/>
                <w:szCs w:val="18"/>
                <w:vertAlign w:val="subscript"/>
              </w:rPr>
              <w:t>m</w:t>
            </w:r>
            <w:r>
              <w:rPr>
                <w:b/>
                <w:sz w:val="18"/>
                <w:szCs w:val="18"/>
              </w:rPr>
              <w:t xml:space="preserve"> (N/mm</w:t>
            </w:r>
            <w:r>
              <w:rPr>
                <w:b/>
                <w:sz w:val="18"/>
                <w:szCs w:val="18"/>
                <w:vertAlign w:val="superscript"/>
              </w:rPr>
              <w:t>2</w:t>
            </w:r>
            <w:r>
              <w:rPr>
                <w:b/>
                <w:sz w:val="18"/>
                <w:szCs w:val="18"/>
              </w:rPr>
              <w:t>)</w:t>
            </w:r>
          </w:p>
        </w:tc>
        <w:tc>
          <w:tcPr>
            <w:tcW w:w="2308" w:type="dxa"/>
            <w:gridSpan w:val="2"/>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pPr>
            <w:r>
              <w:rPr>
                <w:b/>
                <w:sz w:val="18"/>
                <w:szCs w:val="18"/>
              </w:rPr>
              <w:t>Alargamiento mínimo en rotura A</w:t>
            </w:r>
            <w:r>
              <w:rPr>
                <w:b/>
                <w:sz w:val="18"/>
                <w:szCs w:val="18"/>
                <w:vertAlign w:val="subscript"/>
              </w:rPr>
              <w:t>min</w:t>
            </w:r>
            <w:proofErr w:type="gramStart"/>
            <w:r>
              <w:rPr>
                <w:b/>
                <w:sz w:val="18"/>
                <w:szCs w:val="18"/>
                <w:vertAlign w:val="subscript"/>
              </w:rPr>
              <w:t>,r</w:t>
            </w:r>
            <w:proofErr w:type="gramEnd"/>
            <w:r>
              <w:rPr>
                <w:b/>
                <w:sz w:val="18"/>
                <w:szCs w:val="18"/>
                <w:vertAlign w:val="subscript"/>
              </w:rPr>
              <w:t xml:space="preserve"> </w:t>
            </w:r>
            <w:r>
              <w:rPr>
                <w:b/>
                <w:sz w:val="18"/>
                <w:szCs w:val="18"/>
              </w:rPr>
              <w:t>(%)</w:t>
            </w:r>
          </w:p>
        </w:tc>
        <w:tc>
          <w:tcPr>
            <w:tcW w:w="1456" w:type="dxa"/>
            <w:vMerge w:val="restart"/>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pPr>
            <w:r>
              <w:rPr>
                <w:b/>
                <w:sz w:val="18"/>
                <w:szCs w:val="18"/>
              </w:rPr>
              <w:t>Dureza Brinell máxima, HB</w:t>
            </w:r>
          </w:p>
        </w:tc>
      </w:tr>
      <w:tr w:rsidR="00C7085E" w:rsidTr="00C708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left"/>
              <w:rPr>
                <w:b/>
                <w:sz w:val="18"/>
                <w:szCs w:val="18"/>
                <w:lang w:val="es-ES_tradnl" w:eastAsia="es-ES_trad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left"/>
              <w:rPr>
                <w:b/>
                <w:sz w:val="18"/>
                <w:szCs w:val="18"/>
                <w:lang w:val="es-ES_tradnl" w:eastAsia="es-ES_tradnl"/>
              </w:rPr>
            </w:pPr>
          </w:p>
        </w:tc>
        <w:tc>
          <w:tcPr>
            <w:tcW w:w="1204"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 xml:space="preserve">DN </w:t>
            </w:r>
            <w:r>
              <w:rPr>
                <w:rFonts w:cs="Arial"/>
                <w:sz w:val="18"/>
                <w:szCs w:val="18"/>
              </w:rPr>
              <w:t>≤</w:t>
            </w:r>
            <w:r>
              <w:rPr>
                <w:sz w:val="18"/>
                <w:szCs w:val="18"/>
              </w:rPr>
              <w:t>1000</w:t>
            </w:r>
          </w:p>
        </w:tc>
        <w:tc>
          <w:tcPr>
            <w:tcW w:w="1104"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DN &gt;1000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left"/>
              <w:rPr>
                <w:lang w:val="es-ES_tradnl" w:eastAsia="es-ES_tradnl"/>
              </w:rPr>
            </w:pPr>
          </w:p>
        </w:tc>
      </w:tr>
      <w:tr w:rsidR="00C7085E" w:rsidTr="00C7085E">
        <w:trPr>
          <w:jc w:val="center"/>
        </w:trPr>
        <w:tc>
          <w:tcPr>
            <w:tcW w:w="2183"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rPr>
                <w:sz w:val="18"/>
                <w:szCs w:val="18"/>
              </w:rPr>
            </w:pPr>
            <w:r>
              <w:rPr>
                <w:sz w:val="18"/>
                <w:szCs w:val="18"/>
              </w:rPr>
              <w:t>Tubos centrifugados</w:t>
            </w:r>
          </w:p>
        </w:tc>
        <w:tc>
          <w:tcPr>
            <w:tcW w:w="2185"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420</w:t>
            </w:r>
          </w:p>
        </w:tc>
        <w:tc>
          <w:tcPr>
            <w:tcW w:w="1204"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10</w:t>
            </w:r>
          </w:p>
        </w:tc>
        <w:tc>
          <w:tcPr>
            <w:tcW w:w="1104"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7</w:t>
            </w:r>
          </w:p>
        </w:tc>
        <w:tc>
          <w:tcPr>
            <w:tcW w:w="1456"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230</w:t>
            </w:r>
          </w:p>
        </w:tc>
      </w:tr>
      <w:tr w:rsidR="00C7085E" w:rsidTr="00C7085E">
        <w:trPr>
          <w:jc w:val="center"/>
        </w:trPr>
        <w:tc>
          <w:tcPr>
            <w:tcW w:w="2183"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rPr>
                <w:sz w:val="18"/>
                <w:szCs w:val="18"/>
              </w:rPr>
            </w:pPr>
            <w:r>
              <w:rPr>
                <w:sz w:val="18"/>
                <w:szCs w:val="18"/>
              </w:rPr>
              <w:t>Tubos no centrifugados</w:t>
            </w:r>
          </w:p>
        </w:tc>
        <w:tc>
          <w:tcPr>
            <w:tcW w:w="2185"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420</w:t>
            </w:r>
          </w:p>
        </w:tc>
        <w:tc>
          <w:tcPr>
            <w:tcW w:w="1204"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5</w:t>
            </w:r>
          </w:p>
        </w:tc>
        <w:tc>
          <w:tcPr>
            <w:tcW w:w="1104"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5</w:t>
            </w:r>
          </w:p>
        </w:tc>
        <w:tc>
          <w:tcPr>
            <w:tcW w:w="1456"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230</w:t>
            </w:r>
          </w:p>
        </w:tc>
      </w:tr>
      <w:tr w:rsidR="00C7085E" w:rsidTr="00C7085E">
        <w:trPr>
          <w:jc w:val="center"/>
        </w:trPr>
        <w:tc>
          <w:tcPr>
            <w:tcW w:w="2183"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rPr>
                <w:sz w:val="18"/>
                <w:szCs w:val="18"/>
              </w:rPr>
            </w:pPr>
            <w:r>
              <w:rPr>
                <w:sz w:val="18"/>
                <w:szCs w:val="18"/>
              </w:rPr>
              <w:t>Piezas especiales</w:t>
            </w:r>
          </w:p>
        </w:tc>
        <w:tc>
          <w:tcPr>
            <w:tcW w:w="2185"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420</w:t>
            </w:r>
          </w:p>
        </w:tc>
        <w:tc>
          <w:tcPr>
            <w:tcW w:w="1204"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5</w:t>
            </w:r>
          </w:p>
        </w:tc>
        <w:tc>
          <w:tcPr>
            <w:tcW w:w="1104"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5</w:t>
            </w:r>
          </w:p>
        </w:tc>
        <w:tc>
          <w:tcPr>
            <w:tcW w:w="1456" w:type="dxa"/>
            <w:tcBorders>
              <w:top w:val="single" w:sz="4" w:space="0" w:color="auto"/>
              <w:left w:val="single" w:sz="4" w:space="0" w:color="auto"/>
              <w:bottom w:val="single" w:sz="4" w:space="0" w:color="auto"/>
              <w:right w:val="single" w:sz="4" w:space="0" w:color="auto"/>
            </w:tcBorders>
            <w:hideMark/>
          </w:tcPr>
          <w:p w:rsidR="00C7085E" w:rsidRDefault="00C7085E" w:rsidP="00B71B1A">
            <w:pPr>
              <w:keepNext/>
              <w:keepLines/>
              <w:spacing w:before="120" w:after="240" w:line="276" w:lineRule="auto"/>
              <w:ind w:right="-285"/>
              <w:jc w:val="center"/>
              <w:rPr>
                <w:sz w:val="18"/>
                <w:szCs w:val="18"/>
              </w:rPr>
            </w:pPr>
            <w:r>
              <w:rPr>
                <w:sz w:val="18"/>
                <w:szCs w:val="18"/>
              </w:rPr>
              <w:t>250</w:t>
            </w:r>
          </w:p>
        </w:tc>
      </w:tr>
    </w:tbl>
    <w:p w:rsidR="00C7085E" w:rsidRDefault="00C7085E" w:rsidP="00B71B1A">
      <w:pPr>
        <w:pStyle w:val="Tabla"/>
        <w:keepNext/>
        <w:keepLines/>
        <w:spacing w:before="120" w:line="276" w:lineRule="auto"/>
        <w:ind w:right="-285"/>
      </w:pPr>
      <w:r>
        <w:t>Características mecánicas de la fundición dúctil</w:t>
      </w:r>
    </w:p>
    <w:p w:rsidR="00C7085E" w:rsidRDefault="00C7085E" w:rsidP="00B71B1A">
      <w:pPr>
        <w:spacing w:before="120" w:after="240" w:line="276" w:lineRule="auto"/>
        <w:ind w:right="-285"/>
      </w:pPr>
      <w:r>
        <w:t>Los tubos deberán identificarse exteriormente por uno de los siguientes colores: marrón, rojo o gris. En ningún caso se admitirá el color azul.</w:t>
      </w:r>
    </w:p>
    <w:p w:rsidR="00C7085E" w:rsidRDefault="00C7085E" w:rsidP="00B71B1A">
      <w:pPr>
        <w:spacing w:before="120" w:after="240" w:line="276" w:lineRule="auto"/>
        <w:ind w:right="-285"/>
      </w:pPr>
      <w:r>
        <w:t>Todos los tubos se protegerán contra la corrosión mediante la aplicación de revestimientos, los cuales recubrirán uniformemente la totalidad de los contornos de los tubos, constituyendo superficies lisas y regulares, exentas de defectos tales como cavidades o burbujas. Deberán estar bien adheridos a la fundición, no descascarillándose, ni exfoliándose y secando en un tiempo rápido. Los revestimientos se aplicarán siempre en fábrica, excepto la manga de polietileno que se colocará en la propia obra.</w:t>
      </w:r>
    </w:p>
    <w:p w:rsidR="00C7085E" w:rsidRDefault="00C7085E" w:rsidP="00B71B1A">
      <w:pPr>
        <w:spacing w:before="120" w:after="240" w:line="276" w:lineRule="auto"/>
        <w:ind w:right="-285"/>
      </w:pPr>
      <w:r>
        <w:t>Salvo indicación expresa de la Dirección de Obra, todos los tubos de fundición dúctil deberán suministrarse con las siguientes protecciones:</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Revestimiento exterior de zinc con una capa de acabado.</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t>Revestimiento interior de mortero de cemento con alto contenido en alúmina (como mínimo de un 40 %).</w:t>
      </w:r>
    </w:p>
    <w:p w:rsidR="00C7085E" w:rsidRDefault="00C7085E" w:rsidP="00B71B1A">
      <w:pPr>
        <w:widowControl/>
        <w:numPr>
          <w:ilvl w:val="0"/>
          <w:numId w:val="12"/>
        </w:numPr>
        <w:suppressAutoHyphens/>
        <w:spacing w:before="120" w:after="240" w:line="276" w:lineRule="auto"/>
        <w:ind w:left="714" w:right="-285" w:hanging="357"/>
        <w:rPr>
          <w:szCs w:val="22"/>
        </w:rPr>
      </w:pPr>
      <w:r>
        <w:rPr>
          <w:szCs w:val="22"/>
        </w:rPr>
        <w:lastRenderedPageBreak/>
        <w:t>Recubrimiento a base de resina sintética (epoxi, poliuretano…) sobre las superficies de los extremos que puedan entrar en contacto con el efluente.</w:t>
      </w:r>
    </w:p>
    <w:p w:rsidR="00C7085E" w:rsidRDefault="00C7085E" w:rsidP="00B71B1A">
      <w:pPr>
        <w:spacing w:before="120" w:after="240" w:line="276" w:lineRule="auto"/>
        <w:ind w:right="-285"/>
        <w:rPr>
          <w:szCs w:val="22"/>
        </w:rPr>
      </w:pPr>
      <w:r>
        <w:rPr>
          <w:szCs w:val="22"/>
        </w:rPr>
        <w:t>Todos estos revestimientos deberán cumplir las especificaciones para los mismos de la norma UNE-EN 598.</w:t>
      </w:r>
    </w:p>
    <w:p w:rsidR="00C7085E" w:rsidRDefault="00C7085E" w:rsidP="00B71B1A">
      <w:pPr>
        <w:spacing w:before="120" w:after="240" w:line="276" w:lineRule="auto"/>
        <w:ind w:right="-285"/>
        <w:rPr>
          <w:szCs w:val="22"/>
        </w:rPr>
      </w:pPr>
      <w:r>
        <w:rPr>
          <w:szCs w:val="22"/>
        </w:rPr>
        <w:t>Excepcionalmente, y si así lo acepta la Dirección de Obra, podrán ser admisibles los revestimientos alternativos que figuran en el Anexo B de la citada norma.</w:t>
      </w:r>
    </w:p>
    <w:p w:rsidR="00C7085E" w:rsidRDefault="00C7085E" w:rsidP="00B71B1A">
      <w:pPr>
        <w:spacing w:before="120" w:after="240" w:line="276" w:lineRule="auto"/>
        <w:ind w:right="-285"/>
        <w:rPr>
          <w:szCs w:val="22"/>
        </w:rPr>
      </w:pPr>
      <w:r>
        <w:rPr>
          <w:szCs w:val="22"/>
        </w:rPr>
        <w:t>Todos los tubos deberán ir marcados, de forma fácilmente legible y durable, con la siguiente identificación como mínimo:</w:t>
      </w:r>
    </w:p>
    <w:p w:rsidR="00C7085E" w:rsidRDefault="00C7085E" w:rsidP="00B71B1A">
      <w:pPr>
        <w:widowControl/>
        <w:numPr>
          <w:ilvl w:val="0"/>
          <w:numId w:val="12"/>
        </w:numPr>
        <w:spacing w:before="120" w:after="240" w:line="276" w:lineRule="auto"/>
        <w:ind w:left="714" w:right="-285" w:hanging="357"/>
      </w:pPr>
      <w:r>
        <w:t>Nombre o marca del fabricante.</w:t>
      </w:r>
    </w:p>
    <w:p w:rsidR="00C7085E" w:rsidRDefault="00C7085E" w:rsidP="00B71B1A">
      <w:pPr>
        <w:widowControl/>
        <w:numPr>
          <w:ilvl w:val="0"/>
          <w:numId w:val="12"/>
        </w:numPr>
        <w:spacing w:before="120" w:after="240" w:line="276" w:lineRule="auto"/>
        <w:ind w:left="714" w:right="-285" w:hanging="357"/>
      </w:pPr>
      <w:r>
        <w:t>Fecha de fabricación.</w:t>
      </w:r>
    </w:p>
    <w:p w:rsidR="00C7085E" w:rsidRDefault="00C7085E" w:rsidP="00B71B1A">
      <w:pPr>
        <w:widowControl/>
        <w:numPr>
          <w:ilvl w:val="0"/>
          <w:numId w:val="12"/>
        </w:numPr>
        <w:spacing w:before="120" w:after="240" w:line="276" w:lineRule="auto"/>
        <w:ind w:left="714" w:right="-285" w:hanging="357"/>
      </w:pPr>
      <w:r>
        <w:t>Identificación como fundición dúctil.</w:t>
      </w:r>
    </w:p>
    <w:p w:rsidR="00C7085E" w:rsidRDefault="00C7085E" w:rsidP="00B71B1A">
      <w:pPr>
        <w:widowControl/>
        <w:numPr>
          <w:ilvl w:val="0"/>
          <w:numId w:val="12"/>
        </w:numPr>
        <w:spacing w:before="120" w:after="240" w:line="276" w:lineRule="auto"/>
        <w:ind w:left="714" w:right="-285" w:hanging="357"/>
      </w:pPr>
      <w:r>
        <w:t>Diámetro nominal, DN.</w:t>
      </w:r>
    </w:p>
    <w:p w:rsidR="00C7085E" w:rsidRDefault="00C7085E" w:rsidP="00B71B1A">
      <w:pPr>
        <w:widowControl/>
        <w:numPr>
          <w:ilvl w:val="0"/>
          <w:numId w:val="12"/>
        </w:numPr>
        <w:spacing w:before="120" w:after="240" w:line="276" w:lineRule="auto"/>
        <w:ind w:left="714" w:right="-285" w:hanging="357"/>
      </w:pPr>
      <w:r>
        <w:t>Presión nominal, PN, en el caso de unión con bridas.</w:t>
      </w:r>
    </w:p>
    <w:p w:rsidR="00C7085E" w:rsidRDefault="00C7085E" w:rsidP="00B71B1A">
      <w:pPr>
        <w:widowControl/>
        <w:numPr>
          <w:ilvl w:val="0"/>
          <w:numId w:val="12"/>
        </w:numPr>
        <w:spacing w:before="120" w:after="240" w:line="276" w:lineRule="auto"/>
        <w:ind w:left="714" w:right="-285" w:hanging="357"/>
      </w:pPr>
      <w:r>
        <w:t>Referencia a la norma EN 598.</w:t>
      </w:r>
    </w:p>
    <w:p w:rsidR="00C7085E" w:rsidRDefault="00C7085E" w:rsidP="00B71B1A">
      <w:pPr>
        <w:widowControl/>
        <w:numPr>
          <w:ilvl w:val="0"/>
          <w:numId w:val="12"/>
        </w:numPr>
        <w:spacing w:before="120" w:after="240" w:line="276" w:lineRule="auto"/>
        <w:ind w:left="714" w:right="-285" w:hanging="357"/>
      </w:pPr>
      <w:r>
        <w:t>Marcado CE.</w:t>
      </w:r>
    </w:p>
    <w:p w:rsidR="00C7085E" w:rsidRDefault="00C7085E" w:rsidP="00B71B1A">
      <w:pPr>
        <w:widowControl/>
        <w:numPr>
          <w:ilvl w:val="0"/>
          <w:numId w:val="12"/>
        </w:numPr>
        <w:spacing w:before="120" w:after="240" w:line="276" w:lineRule="auto"/>
        <w:ind w:left="714" w:right="-285" w:hanging="357"/>
        <w:rPr>
          <w:szCs w:val="22"/>
        </w:rPr>
      </w:pPr>
      <w:r>
        <w:rPr>
          <w:szCs w:val="22"/>
        </w:rPr>
        <w:t>Identificación del certificado de producto emitido por tercera parte.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szCs w:val="20"/>
        </w:rPr>
      </w:pPr>
      <w:r>
        <w:t>Ejecución</w:t>
      </w:r>
    </w:p>
    <w:p w:rsidR="00C7085E" w:rsidRDefault="00C7085E" w:rsidP="00B71B1A">
      <w:pPr>
        <w:spacing w:before="120" w:after="240" w:line="276" w:lineRule="auto"/>
        <w:ind w:right="-285"/>
      </w:pPr>
      <w:r>
        <w:t>Los sistemas de unión de los tubos de fundición deberán ser conformes con lo especificado para los mismos en la norma UNE-EN 598 y podrán ser alguno de estos tipos:</w:t>
      </w:r>
    </w:p>
    <w:p w:rsidR="00C7085E" w:rsidRDefault="00C7085E" w:rsidP="00B71B1A">
      <w:pPr>
        <w:widowControl/>
        <w:numPr>
          <w:ilvl w:val="0"/>
          <w:numId w:val="12"/>
        </w:numPr>
        <w:spacing w:before="120" w:after="240" w:line="276" w:lineRule="auto"/>
        <w:ind w:left="714" w:right="-285" w:hanging="357"/>
        <w:rPr>
          <w:szCs w:val="22"/>
        </w:rPr>
      </w:pPr>
      <w:r>
        <w:rPr>
          <w:szCs w:val="22"/>
        </w:rPr>
        <w:t>Unión flexible de enchufe y extremo liso</w:t>
      </w:r>
    </w:p>
    <w:p w:rsidR="00C7085E" w:rsidRDefault="00C7085E" w:rsidP="00B71B1A">
      <w:pPr>
        <w:widowControl/>
        <w:numPr>
          <w:ilvl w:val="0"/>
          <w:numId w:val="12"/>
        </w:numPr>
        <w:spacing w:before="120" w:after="240" w:line="276" w:lineRule="auto"/>
        <w:ind w:left="714" w:right="-285" w:hanging="357"/>
        <w:rPr>
          <w:szCs w:val="22"/>
        </w:rPr>
      </w:pPr>
      <w:r>
        <w:rPr>
          <w:szCs w:val="22"/>
        </w:rPr>
        <w:t>Unión flexible acerrojada resistente a las tracciones</w:t>
      </w:r>
    </w:p>
    <w:p w:rsidR="00C7085E" w:rsidRDefault="00C7085E" w:rsidP="00B71B1A">
      <w:pPr>
        <w:widowControl/>
        <w:numPr>
          <w:ilvl w:val="0"/>
          <w:numId w:val="12"/>
        </w:numPr>
        <w:spacing w:before="120" w:after="240" w:line="276" w:lineRule="auto"/>
        <w:ind w:left="714" w:right="-285" w:hanging="357"/>
        <w:rPr>
          <w:szCs w:val="22"/>
        </w:rPr>
      </w:pPr>
      <w:r>
        <w:rPr>
          <w:szCs w:val="22"/>
        </w:rPr>
        <w:t>Unión flexible mecánica</w:t>
      </w:r>
    </w:p>
    <w:p w:rsidR="00C7085E" w:rsidRDefault="00C7085E" w:rsidP="00B71B1A">
      <w:pPr>
        <w:widowControl/>
        <w:numPr>
          <w:ilvl w:val="0"/>
          <w:numId w:val="12"/>
        </w:numPr>
        <w:spacing w:before="120" w:after="240" w:line="276" w:lineRule="auto"/>
        <w:ind w:left="714" w:right="-285" w:hanging="357"/>
        <w:rPr>
          <w:szCs w:val="22"/>
        </w:rPr>
      </w:pPr>
      <w:r>
        <w:rPr>
          <w:szCs w:val="22"/>
        </w:rPr>
        <w:t>Unión rígida con bridas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szCs w:val="20"/>
        </w:rPr>
      </w:pPr>
      <w:r>
        <w:t>Control de calidad</w:t>
      </w:r>
    </w:p>
    <w:p w:rsidR="00C7085E" w:rsidRDefault="00C7085E" w:rsidP="00B71B1A">
      <w:pPr>
        <w:spacing w:before="120" w:after="240" w:line="276" w:lineRule="auto"/>
        <w:ind w:right="-285"/>
      </w:pPr>
      <w:r>
        <w:t>Para el control de calidad de la fabricación de las tuberías de fundición dúctil será de aplicación lo especificado en la norma UNE-EN 598.</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t>Los valores mínimos de la desviación angular admisible en las uniones flexibles serán:</w:t>
      </w:r>
    </w:p>
    <w:tbl>
      <w:tblPr>
        <w:tblStyle w:val="Tablaconcuadrcula"/>
        <w:tblW w:w="0" w:type="auto"/>
        <w:jc w:val="center"/>
        <w:tblLook w:val="04A0" w:firstRow="1" w:lastRow="0" w:firstColumn="1" w:lastColumn="0" w:noHBand="0" w:noVBand="1"/>
      </w:tblPr>
      <w:tblGrid>
        <w:gridCol w:w="3801"/>
        <w:gridCol w:w="1578"/>
        <w:gridCol w:w="1578"/>
      </w:tblGrid>
      <w:tr w:rsidR="00C7085E" w:rsidTr="00C7085E">
        <w:trPr>
          <w:jc w:val="center"/>
        </w:trPr>
        <w:tc>
          <w:tcPr>
            <w:tcW w:w="38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spacing w:before="120" w:after="240" w:line="276" w:lineRule="auto"/>
              <w:ind w:right="-285"/>
              <w:jc w:val="center"/>
              <w:rPr>
                <w:szCs w:val="20"/>
              </w:rPr>
            </w:pPr>
          </w:p>
        </w:tc>
        <w:tc>
          <w:tcPr>
            <w:tcW w:w="31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spacing w:before="120" w:after="240" w:line="276" w:lineRule="auto"/>
              <w:ind w:right="-285"/>
              <w:jc w:val="center"/>
              <w:rPr>
                <w:szCs w:val="20"/>
              </w:rPr>
            </w:pPr>
          </w:p>
        </w:tc>
      </w:tr>
      <w:tr w:rsidR="00C7085E" w:rsidTr="00C7085E">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szCs w:val="20"/>
                <w:lang w:val="es-ES_tradnl" w:eastAsia="es-ES_tradnl"/>
              </w:rPr>
            </w:pP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spacing w:before="120" w:after="240" w:line="276" w:lineRule="auto"/>
              <w:ind w:right="-285"/>
              <w:jc w:val="center"/>
              <w:rPr>
                <w:szCs w:val="20"/>
              </w:rPr>
            </w:pP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7085E" w:rsidRDefault="00C7085E" w:rsidP="00B71B1A">
            <w:pPr>
              <w:spacing w:before="120" w:after="240" w:line="276" w:lineRule="auto"/>
              <w:ind w:right="-285"/>
              <w:jc w:val="center"/>
              <w:rPr>
                <w:szCs w:val="20"/>
              </w:rPr>
            </w:pPr>
          </w:p>
        </w:tc>
      </w:tr>
      <w:tr w:rsidR="00C7085E" w:rsidTr="00C7085E">
        <w:trPr>
          <w:jc w:val="center"/>
        </w:trPr>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Cs w:val="20"/>
              </w:rPr>
            </w:pPr>
            <w:r>
              <w:rPr>
                <w:szCs w:val="20"/>
              </w:rPr>
              <w:t xml:space="preserve">DN </w:t>
            </w:r>
            <w:r>
              <w:rPr>
                <w:rFonts w:cs="Arial"/>
                <w:szCs w:val="20"/>
              </w:rPr>
              <w:t>&lt;</w:t>
            </w:r>
            <w:r>
              <w:rPr>
                <w:szCs w:val="20"/>
              </w:rPr>
              <w:t xml:space="preserve"> 300</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Cs w:val="20"/>
              </w:rPr>
            </w:pPr>
            <w:r>
              <w:rPr>
                <w:szCs w:val="20"/>
              </w:rPr>
              <w:t>3º 30´</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Cs w:val="20"/>
              </w:rPr>
            </w:pPr>
            <w:r>
              <w:rPr>
                <w:szCs w:val="20"/>
              </w:rPr>
              <w:t>1º 45´</w:t>
            </w:r>
          </w:p>
        </w:tc>
      </w:tr>
      <w:tr w:rsidR="00C7085E" w:rsidTr="00C7085E">
        <w:trPr>
          <w:jc w:val="center"/>
        </w:trPr>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Cs w:val="20"/>
              </w:rPr>
            </w:pPr>
            <w:r>
              <w:rPr>
                <w:szCs w:val="20"/>
              </w:rPr>
              <w:t xml:space="preserve">350 </w:t>
            </w:r>
            <w:r>
              <w:rPr>
                <w:rFonts w:cs="Arial"/>
                <w:szCs w:val="20"/>
              </w:rPr>
              <w:t>&lt;</w:t>
            </w:r>
            <w:r>
              <w:rPr>
                <w:szCs w:val="20"/>
              </w:rPr>
              <w:t xml:space="preserve"> DN </w:t>
            </w:r>
            <w:r>
              <w:rPr>
                <w:rFonts w:cs="Arial"/>
                <w:szCs w:val="20"/>
              </w:rPr>
              <w:t>&lt;</w:t>
            </w:r>
            <w:r>
              <w:rPr>
                <w:szCs w:val="20"/>
              </w:rPr>
              <w:t xml:space="preserve"> 600</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Cs w:val="20"/>
              </w:rPr>
            </w:pPr>
            <w:r>
              <w:rPr>
                <w:szCs w:val="20"/>
              </w:rPr>
              <w:t>2º 30´</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Cs w:val="20"/>
              </w:rPr>
            </w:pPr>
            <w:r>
              <w:rPr>
                <w:szCs w:val="20"/>
              </w:rPr>
              <w:t>1º 15´</w:t>
            </w:r>
          </w:p>
        </w:tc>
      </w:tr>
      <w:tr w:rsidR="00C7085E" w:rsidTr="00C7085E">
        <w:trPr>
          <w:jc w:val="center"/>
        </w:trPr>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Cs w:val="20"/>
              </w:rPr>
            </w:pPr>
            <w:r>
              <w:rPr>
                <w:szCs w:val="20"/>
              </w:rPr>
              <w:t xml:space="preserve">700 </w:t>
            </w:r>
            <w:r>
              <w:rPr>
                <w:rFonts w:cs="Arial"/>
                <w:szCs w:val="20"/>
              </w:rPr>
              <w:t>&lt;</w:t>
            </w:r>
            <w:r>
              <w:rPr>
                <w:szCs w:val="20"/>
              </w:rPr>
              <w:t xml:space="preserve"> DN </w:t>
            </w:r>
            <w:r>
              <w:rPr>
                <w:rFonts w:cs="Arial"/>
                <w:szCs w:val="20"/>
              </w:rPr>
              <w:t>&lt;</w:t>
            </w:r>
            <w:r>
              <w:rPr>
                <w:szCs w:val="20"/>
              </w:rPr>
              <w:t xml:space="preserve"> 2000</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Cs w:val="20"/>
              </w:rPr>
            </w:pPr>
            <w:r>
              <w:rPr>
                <w:szCs w:val="20"/>
              </w:rPr>
              <w:t>1º 30´</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Cs w:val="20"/>
              </w:rPr>
            </w:pPr>
            <w:r>
              <w:rPr>
                <w:szCs w:val="20"/>
              </w:rPr>
              <w:t>45´</w:t>
            </w:r>
          </w:p>
        </w:tc>
      </w:tr>
    </w:tbl>
    <w:p w:rsidR="00C7085E" w:rsidRDefault="00C7085E" w:rsidP="00B71B1A">
      <w:pPr>
        <w:pStyle w:val="Tabla"/>
        <w:spacing w:before="120" w:line="276" w:lineRule="auto"/>
        <w:ind w:right="-285"/>
      </w:pPr>
      <w:r>
        <w:t>Desviación angular  en uniones flexibles (UNE-EN 598)</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El precio al que se abonará cada tubería será el que corresponda a su diámetro nominal, según los precios que figuren en el Cuadro de Precios vigente de Canal de Isabel II Gestión.</w:t>
      </w:r>
    </w:p>
    <w:p w:rsidR="00C7085E" w:rsidRDefault="00C7085E" w:rsidP="00B71B1A">
      <w:pPr>
        <w:spacing w:before="120" w:after="240" w:line="276" w:lineRule="auto"/>
        <w:ind w:right="-285"/>
      </w:pPr>
      <w:r>
        <w:t>En los precios se consideran incluidos el revestimiento interior de mortero de cemento, el exterior a base de zinc y epoxi, así como la parte proporcional de junta automática flexible, medios auxiliares y pruebas necesarias para el correcto funcionamiento de la tubería.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91" w:name="_Toc414021804"/>
      <w:bookmarkStart w:id="192" w:name="_Toc448741426"/>
      <w:r>
        <w:t>Tubería de fundición. Mangas y revestimientos</w:t>
      </w:r>
      <w:bookmarkEnd w:id="191"/>
      <w:bookmarkEnd w:id="192"/>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 xml:space="preserve">Las mangas de polietileno utilizadas deberán cumplir las especificaciones de la norma ISO 8180. </w:t>
      </w:r>
    </w:p>
    <w:p w:rsidR="00C7085E" w:rsidRDefault="00C7085E" w:rsidP="00B71B1A">
      <w:pPr>
        <w:spacing w:before="120" w:after="240" w:line="276" w:lineRule="auto"/>
        <w:ind w:right="-285"/>
        <w:rPr>
          <w:i/>
        </w:rPr>
      </w:pPr>
      <w:r>
        <w:t>Los revestimientos exteriores de poliuretano deberán cumplir las especificaciones de la norma UNE-EN 15189: “</w:t>
      </w:r>
      <w:r>
        <w:rPr>
          <w:i/>
        </w:rPr>
        <w:t>Tuberías, accesorios y piezas especiales de fundición dúctil. Recubrimientos exteriores de poliuretano para tuberías. Requisitos y métodos de ensayo”.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 aplicación de las mangas de polietileno deberá efectuarse en la propia obra y se realizarán sobre la capa de acabado del revestimiento exterior de cinc de la tubería de fundición.</w:t>
      </w:r>
    </w:p>
    <w:p w:rsidR="00C7085E" w:rsidRDefault="00C7085E" w:rsidP="00B71B1A">
      <w:pPr>
        <w:spacing w:before="120" w:after="240" w:line="276" w:lineRule="auto"/>
        <w:ind w:right="-285"/>
      </w:pPr>
      <w:r>
        <w:t>Antes de colocar la manga, las tuberías deben estar secas y limpias. Se evitará la presencia de tierra u otro material extraño entre el tubo y la manga durante su instalación.</w:t>
      </w:r>
    </w:p>
    <w:p w:rsidR="00C7085E" w:rsidRDefault="00C7085E" w:rsidP="00B71B1A">
      <w:pPr>
        <w:spacing w:before="120" w:after="240" w:line="276" w:lineRule="auto"/>
        <w:ind w:right="-285"/>
      </w:pPr>
      <w:r>
        <w:t>No se debe usar una manga que se encuentre rasgada o agujereada y se debe evitar cualquier daño al momento de su instalación. Los defectos de mayor importancia deben ser arreglados mediante un remiendo utilizando la misma manga. Los defectos pequeños pueden ser reparados con cinta adhesiva.</w:t>
      </w:r>
    </w:p>
    <w:p w:rsidR="00C7085E" w:rsidRDefault="00C7085E" w:rsidP="00B71B1A">
      <w:pPr>
        <w:spacing w:before="120" w:after="240" w:line="276" w:lineRule="auto"/>
        <w:ind w:right="-285"/>
      </w:pPr>
      <w:r>
        <w:t>El Adjudicatario deberá almacenar la manga de polietileno al abrigo de la luz y el calor.</w:t>
      </w:r>
    </w:p>
    <w:p w:rsidR="00C7085E" w:rsidRDefault="00C7085E" w:rsidP="00B71B1A">
      <w:pPr>
        <w:spacing w:before="120" w:after="240" w:line="276" w:lineRule="auto"/>
        <w:ind w:right="-285"/>
      </w:pPr>
      <w:r>
        <w:lastRenderedPageBreak/>
        <w:t>Con el tubo apoyado en sus extremos mediante dos tacos de madera, se colocará la manga sobre todo el cuerpo de la tubería, envolviéndola cuidadosamente y efectuando el pliegue sobre la generatriz superior, evitando siempre la formación de bolsas de aire. Los siguientes pasos a seguir serán:</w:t>
      </w:r>
    </w:p>
    <w:p w:rsidR="00C7085E" w:rsidRDefault="00C7085E" w:rsidP="00B71B1A">
      <w:pPr>
        <w:widowControl/>
        <w:numPr>
          <w:ilvl w:val="0"/>
          <w:numId w:val="12"/>
        </w:numPr>
        <w:suppressAutoHyphens/>
        <w:spacing w:before="120" w:after="240" w:line="276" w:lineRule="auto"/>
        <w:ind w:left="714" w:right="-285" w:hanging="357"/>
      </w:pPr>
      <w:r>
        <w:t xml:space="preserve">Fijar el pliegue con cinta adhesiva. </w:t>
      </w:r>
    </w:p>
    <w:p w:rsidR="00C7085E" w:rsidRDefault="00C7085E" w:rsidP="00B71B1A">
      <w:pPr>
        <w:widowControl/>
        <w:numPr>
          <w:ilvl w:val="0"/>
          <w:numId w:val="12"/>
        </w:numPr>
        <w:suppressAutoHyphens/>
        <w:spacing w:before="120" w:after="240" w:line="276" w:lineRule="auto"/>
        <w:ind w:left="714" w:right="-285" w:hanging="357"/>
      </w:pPr>
      <w:r>
        <w:t xml:space="preserve">Fijar sobre el cuerpo del tubo, las extremidades de la manga con cinta adhesiva en toda su circunferencia, de manera que se obtenga un recubrimiento estanco. </w:t>
      </w:r>
    </w:p>
    <w:p w:rsidR="00C7085E" w:rsidRDefault="00C7085E" w:rsidP="00B71B1A">
      <w:pPr>
        <w:widowControl/>
        <w:numPr>
          <w:ilvl w:val="0"/>
          <w:numId w:val="12"/>
        </w:numPr>
        <w:suppressAutoHyphens/>
        <w:spacing w:before="120" w:after="240" w:line="276" w:lineRule="auto"/>
        <w:ind w:left="714" w:right="-285" w:hanging="357"/>
      </w:pPr>
      <w:r>
        <w:t>Amarrar con un alambre fino de acero plastificado cada metro y medio (1,50 m).</w:t>
      </w:r>
    </w:p>
    <w:p w:rsidR="00C7085E" w:rsidRDefault="00C7085E" w:rsidP="00B71B1A">
      <w:pPr>
        <w:widowControl/>
        <w:numPr>
          <w:ilvl w:val="0"/>
          <w:numId w:val="12"/>
        </w:numPr>
        <w:suppressAutoHyphens/>
        <w:spacing w:before="120" w:after="240" w:line="276" w:lineRule="auto"/>
        <w:ind w:left="714" w:right="-285" w:hanging="357"/>
      </w:pPr>
      <w:r>
        <w:t>Colocar la tubería en la zanja.</w:t>
      </w:r>
    </w:p>
    <w:p w:rsidR="00C7085E" w:rsidRDefault="00C7085E" w:rsidP="00B71B1A">
      <w:pPr>
        <w:widowControl/>
        <w:numPr>
          <w:ilvl w:val="0"/>
          <w:numId w:val="12"/>
        </w:numPr>
        <w:suppressAutoHyphens/>
        <w:spacing w:before="120" w:after="240" w:line="276" w:lineRule="auto"/>
        <w:ind w:left="714" w:right="-285" w:hanging="357"/>
      </w:pPr>
      <w:r>
        <w:t>Proceder a la instalación de la conducción manteniendo siempre el pliegue en la generatriz superior.</w:t>
      </w:r>
    </w:p>
    <w:p w:rsidR="00C7085E" w:rsidRDefault="00C7085E" w:rsidP="00B71B1A">
      <w:pPr>
        <w:spacing w:before="120" w:after="240" w:line="276" w:lineRule="auto"/>
        <w:ind w:right="-285"/>
      </w:pPr>
      <w:r>
        <w:t>La aplicación del revestimiento exterior de poliuretano deberá efectuarse en fábrica.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mangas de polietileno se medirán por metros (m) realmente aplicados de manga sobre la conducción de fundición y se abonarán al precio que corresponda, en función del diámetro nominal del tubo, de los que figuren en el Cuadro de Precios de Canal de Isabel II Gestión.</w:t>
      </w:r>
    </w:p>
    <w:p w:rsidR="00C7085E" w:rsidRDefault="00C7085E" w:rsidP="00B71B1A">
      <w:pPr>
        <w:spacing w:before="120" w:after="240" w:line="276" w:lineRule="auto"/>
        <w:ind w:right="-285"/>
      </w:pPr>
      <w:r>
        <w:t>En el precio se considera incluida la parte proporcional de rollos de hilo y cinta adhesiva.</w:t>
      </w:r>
    </w:p>
    <w:p w:rsidR="00C7085E" w:rsidRDefault="00C7085E" w:rsidP="00B71B1A">
      <w:pPr>
        <w:spacing w:before="120" w:after="240" w:line="276" w:lineRule="auto"/>
        <w:ind w:right="-285"/>
      </w:pPr>
      <w:r>
        <w:t>El revestimiento exterior de poliuretano se medirá por metro realmente aplicado sobre la conducción de fundición y se abonará al precio que corresponda, en función del diámetro nominal del tubo,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93" w:name="_Toc414021805"/>
      <w:bookmarkStart w:id="194" w:name="_Toc448741427"/>
      <w:r>
        <w:t>Tubería de gres vitrificado</w:t>
      </w:r>
      <w:bookmarkEnd w:id="193"/>
      <w:bookmarkEnd w:id="194"/>
    </w:p>
    <w:p w:rsidR="00C7085E" w:rsidRDefault="00C7085E" w:rsidP="00B71B1A">
      <w:pPr>
        <w:keepNext/>
        <w:keepLines/>
        <w:spacing w:before="120" w:after="240" w:line="276" w:lineRule="auto"/>
        <w:ind w:right="-285"/>
      </w:pPr>
      <w:r>
        <w:t>Las tuberías de gres vitrificado objeto del presente artículo sólo podrán emplearse en redes de saneamiento.</w:t>
      </w:r>
    </w:p>
    <w:p w:rsidR="00C7085E" w:rsidRDefault="00C7085E" w:rsidP="00B71B1A">
      <w:pPr>
        <w:spacing w:before="120" w:after="240" w:line="276" w:lineRule="auto"/>
        <w:ind w:right="-285"/>
      </w:pPr>
      <w:r>
        <w:t>Este tipo de tubos deberá cumplir con lo especificado para los mismos en la norma UNE-EN 295: “</w:t>
      </w:r>
      <w:r>
        <w:rPr>
          <w:i/>
        </w:rPr>
        <w:t>Sistemas de tuberías de gres para saneamiento, partes 1 a 7”</w:t>
      </w:r>
      <w:r>
        <w:t xml:space="preserve">. </w:t>
      </w:r>
    </w:p>
    <w:p w:rsidR="00C7085E" w:rsidRDefault="00C7085E" w:rsidP="00B71B1A">
      <w:pPr>
        <w:spacing w:before="120" w:after="240" w:line="276" w:lineRule="auto"/>
        <w:ind w:right="-285"/>
      </w:pPr>
      <w:r>
        <w:t>La serie de diámetros, en milímetros, a utilizar será:</w:t>
      </w:r>
    </w:p>
    <w:p w:rsidR="00C7085E" w:rsidRDefault="00C7085E" w:rsidP="00B71B1A">
      <w:pPr>
        <w:spacing w:before="120" w:after="240" w:line="276" w:lineRule="auto"/>
        <w:ind w:right="-285"/>
        <w:jc w:val="center"/>
      </w:pPr>
      <w:r>
        <w:t>400, 450, 500, 600, 700, 800, 900, 1.000, 1.200 y 1.400</w:t>
      </w:r>
    </w:p>
    <w:p w:rsidR="00C7085E" w:rsidRDefault="00C7085E" w:rsidP="00B71B1A">
      <w:pPr>
        <w:spacing w:before="120" w:after="240" w:line="276" w:lineRule="auto"/>
        <w:ind w:right="-285"/>
      </w:pPr>
      <w:r>
        <w:t>Los tubos de gres clasificarán por su diámetro nominal (DN), refiriéndose éste a su diámetro interior (ID) y por su clase de resistencia.</w:t>
      </w:r>
    </w:p>
    <w:p w:rsidR="00905943" w:rsidRDefault="00905943" w:rsidP="00B71B1A">
      <w:pPr>
        <w:widowControl/>
        <w:autoSpaceDE/>
        <w:autoSpaceDN/>
        <w:adjustRightInd/>
        <w:spacing w:line="276" w:lineRule="auto"/>
        <w:ind w:right="-285"/>
        <w:jc w:val="left"/>
        <w:rPr>
          <w:b/>
          <w:bCs/>
          <w:szCs w:val="28"/>
        </w:rPr>
      </w:pPr>
      <w:r>
        <w:br w:type="page"/>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Materiales</w:t>
      </w:r>
    </w:p>
    <w:p w:rsidR="00C7085E" w:rsidRDefault="00C7085E" w:rsidP="00B71B1A">
      <w:pPr>
        <w:spacing w:before="120" w:after="240" w:line="276" w:lineRule="auto"/>
        <w:ind w:right="-285"/>
      </w:pPr>
      <w:r>
        <w:t>La tubería de gres vitrificado se fabricará de acuerdo a lo especificado en la norma UNE-EN 295.</w:t>
      </w:r>
    </w:p>
    <w:p w:rsidR="00C7085E" w:rsidRDefault="00C7085E" w:rsidP="00B71B1A">
      <w:pPr>
        <w:spacing w:before="120" w:after="240" w:line="276" w:lineRule="auto"/>
        <w:ind w:right="-285"/>
      </w:pPr>
      <w:r>
        <w:t>Todos los tubos deberán ir marcados, de forma fácilmente legible y durable, con las siguientes identificaciones como mínimo:</w:t>
      </w:r>
    </w:p>
    <w:p w:rsidR="00C7085E" w:rsidRDefault="00C7085E" w:rsidP="00B71B1A">
      <w:pPr>
        <w:widowControl/>
        <w:numPr>
          <w:ilvl w:val="0"/>
          <w:numId w:val="12"/>
        </w:numPr>
        <w:spacing w:before="120" w:after="240" w:line="276" w:lineRule="auto"/>
        <w:ind w:left="714" w:right="-285" w:hanging="357"/>
      </w:pPr>
      <w:r>
        <w:t>Nombre o marca del fabricante.</w:t>
      </w:r>
    </w:p>
    <w:p w:rsidR="00C7085E" w:rsidRDefault="00C7085E" w:rsidP="00B71B1A">
      <w:pPr>
        <w:widowControl/>
        <w:numPr>
          <w:ilvl w:val="0"/>
          <w:numId w:val="12"/>
        </w:numPr>
        <w:spacing w:before="120" w:after="240" w:line="276" w:lineRule="auto"/>
        <w:ind w:left="714" w:right="-285" w:hanging="357"/>
      </w:pPr>
      <w:r>
        <w:t>Fecha de fabricación.</w:t>
      </w:r>
    </w:p>
    <w:p w:rsidR="00C7085E" w:rsidRDefault="00C7085E" w:rsidP="00B71B1A">
      <w:pPr>
        <w:widowControl/>
        <w:numPr>
          <w:ilvl w:val="0"/>
          <w:numId w:val="12"/>
        </w:numPr>
        <w:spacing w:before="120" w:after="240" w:line="276" w:lineRule="auto"/>
        <w:ind w:left="714" w:right="-285" w:hanging="357"/>
      </w:pPr>
      <w:r>
        <w:t>Diámetro nominal, DN.</w:t>
      </w:r>
    </w:p>
    <w:p w:rsidR="00C7085E" w:rsidRDefault="00C7085E" w:rsidP="00B71B1A">
      <w:pPr>
        <w:widowControl/>
        <w:numPr>
          <w:ilvl w:val="0"/>
          <w:numId w:val="12"/>
        </w:numPr>
        <w:spacing w:before="120" w:after="240" w:line="276" w:lineRule="auto"/>
        <w:ind w:left="714" w:right="-285" w:hanging="357"/>
      </w:pPr>
      <w:r>
        <w:t>Referencia a la norma EN 295.</w:t>
      </w:r>
    </w:p>
    <w:p w:rsidR="00C7085E" w:rsidRDefault="00C7085E" w:rsidP="00B71B1A">
      <w:pPr>
        <w:widowControl/>
        <w:numPr>
          <w:ilvl w:val="0"/>
          <w:numId w:val="12"/>
        </w:numPr>
        <w:spacing w:before="120" w:after="240" w:line="276" w:lineRule="auto"/>
        <w:ind w:left="714" w:right="-285" w:hanging="357"/>
      </w:pPr>
      <w:r>
        <w:t>Sistema de unión.</w:t>
      </w:r>
    </w:p>
    <w:p w:rsidR="00C7085E" w:rsidRDefault="00C7085E" w:rsidP="00B71B1A">
      <w:pPr>
        <w:widowControl/>
        <w:numPr>
          <w:ilvl w:val="0"/>
          <w:numId w:val="12"/>
        </w:numPr>
        <w:spacing w:before="120" w:after="240" w:line="276" w:lineRule="auto"/>
        <w:ind w:left="714" w:right="-285" w:hanging="357"/>
      </w:pPr>
      <w:r>
        <w:t>Resistencia al aplastamiento (FN) en kN/m.</w:t>
      </w:r>
    </w:p>
    <w:p w:rsidR="00C7085E" w:rsidRDefault="00C7085E" w:rsidP="00B71B1A">
      <w:pPr>
        <w:widowControl/>
        <w:numPr>
          <w:ilvl w:val="0"/>
          <w:numId w:val="12"/>
        </w:numPr>
        <w:spacing w:before="120" w:after="240" w:line="276" w:lineRule="auto"/>
        <w:ind w:left="714" w:right="-285" w:hanging="357"/>
      </w:pPr>
      <w:r>
        <w:t>Resistencia al momento de flexión BMR, en kNm, si es aplicable.</w:t>
      </w:r>
    </w:p>
    <w:p w:rsidR="00C7085E" w:rsidRDefault="00C7085E" w:rsidP="00B71B1A">
      <w:pPr>
        <w:widowControl/>
        <w:numPr>
          <w:ilvl w:val="0"/>
          <w:numId w:val="12"/>
        </w:numPr>
        <w:spacing w:before="120" w:after="240" w:line="276" w:lineRule="auto"/>
        <w:ind w:left="714" w:right="-285" w:hanging="357"/>
      </w:pPr>
      <w:r>
        <w:t>Marcado CE.</w:t>
      </w:r>
    </w:p>
    <w:p w:rsidR="00C7085E" w:rsidRDefault="00C7085E" w:rsidP="00B71B1A">
      <w:pPr>
        <w:widowControl/>
        <w:numPr>
          <w:ilvl w:val="0"/>
          <w:numId w:val="12"/>
        </w:numPr>
        <w:spacing w:before="120" w:after="240" w:line="276" w:lineRule="auto"/>
        <w:ind w:left="714" w:right="-285" w:hanging="357"/>
      </w:pPr>
      <w:r>
        <w:rPr>
          <w:szCs w:val="22"/>
        </w:rPr>
        <w:t>Identificación del certificado de producto emitido por tercera parte.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Los sistemas de unión de los tubos de gres podrán ser:</w:t>
      </w:r>
    </w:p>
    <w:p w:rsidR="00C7085E" w:rsidRDefault="00C7085E" w:rsidP="00B71B1A">
      <w:pPr>
        <w:widowControl/>
        <w:numPr>
          <w:ilvl w:val="0"/>
          <w:numId w:val="12"/>
        </w:numPr>
        <w:suppressAutoHyphens/>
        <w:spacing w:before="120" w:after="240" w:line="276" w:lineRule="auto"/>
        <w:ind w:left="714" w:right="-285" w:hanging="357"/>
      </w:pPr>
      <w:r>
        <w:t>Unión flexible mediante resina de poliuretano, impregnada tanto en el enchufe como en la campana de los tubos a unir.</w:t>
      </w:r>
    </w:p>
    <w:p w:rsidR="00C7085E" w:rsidRDefault="00C7085E" w:rsidP="00B71B1A">
      <w:pPr>
        <w:widowControl/>
        <w:numPr>
          <w:ilvl w:val="0"/>
          <w:numId w:val="12"/>
        </w:numPr>
        <w:suppressAutoHyphens/>
        <w:spacing w:before="120" w:after="240" w:line="276" w:lineRule="auto"/>
        <w:ind w:left="714" w:right="-285" w:hanging="357"/>
      </w:pPr>
      <w:r>
        <w:t>Unión flexible mediante anillo elastomérico en forma de labio y posterior sellado con resina epoxy. Este sistema sólo se aceptará en tubos de diámetro menor de trescientos milímetros (300 mm).</w:t>
      </w:r>
    </w:p>
    <w:p w:rsidR="00C7085E" w:rsidRDefault="00C7085E" w:rsidP="00B71B1A">
      <w:pPr>
        <w:widowControl/>
        <w:numPr>
          <w:ilvl w:val="0"/>
          <w:numId w:val="12"/>
        </w:numPr>
        <w:suppressAutoHyphens/>
        <w:spacing w:before="120" w:after="240" w:line="276" w:lineRule="auto"/>
        <w:ind w:left="714" w:right="-285" w:hanging="357"/>
      </w:pPr>
      <w:r>
        <w:t>Manguitos de polipropileno</w:t>
      </w:r>
    </w:p>
    <w:p w:rsidR="00C7085E" w:rsidRDefault="00C7085E" w:rsidP="00B71B1A">
      <w:pPr>
        <w:pStyle w:val="Ttulo4"/>
        <w:keepLines/>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keepNext/>
        <w:keepLines/>
        <w:spacing w:before="120" w:after="240" w:line="276" w:lineRule="auto"/>
        <w:ind w:right="-285"/>
        <w:rPr>
          <w:u w:val="single"/>
        </w:rPr>
      </w:pPr>
      <w:r>
        <w:rPr>
          <w:u w:val="single"/>
        </w:rPr>
        <w:t>Control de calidad de la fabricación</w:t>
      </w:r>
    </w:p>
    <w:p w:rsidR="00C7085E" w:rsidRDefault="00C7085E" w:rsidP="00B71B1A">
      <w:pPr>
        <w:keepNext/>
        <w:keepLines/>
        <w:spacing w:before="120" w:after="240" w:line="276" w:lineRule="auto"/>
        <w:ind w:right="-285"/>
      </w:pPr>
      <w:r>
        <w:t>Será de aplicación lo especificado en la norma UNE-EN 295.</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t xml:space="preserve">La tolerancia sobre la longitud nominal declarada de las tuberías y accesorios rectos debe estar entre el -1% a +4%, o </w:t>
      </w:r>
      <w:r>
        <w:rPr>
          <w:rFonts w:cs="Arial"/>
        </w:rPr>
        <w:t>±</w:t>
      </w:r>
      <w:r>
        <w:t>10%, el valor que sea mayor.</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Medición y abono</w:t>
      </w:r>
    </w:p>
    <w:p w:rsidR="00C7085E" w:rsidRDefault="00C7085E" w:rsidP="00B71B1A">
      <w:pPr>
        <w:spacing w:before="120" w:after="240" w:line="276" w:lineRule="auto"/>
        <w:ind w:right="-285"/>
      </w:pPr>
      <w:r>
        <w:t>Las tuberías de gres se medirán por metro (m) de conducción totalmente terminada y probada en obra y se abonará al precio que corresponda, en función de su diámetro,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95" w:name="_Toc414021806"/>
      <w:bookmarkStart w:id="196" w:name="_Toc448741428"/>
      <w:r>
        <w:t xml:space="preserve">Tubería de acero </w:t>
      </w:r>
      <w:bookmarkEnd w:id="195"/>
      <w:r>
        <w:t>inoxidable</w:t>
      </w:r>
      <w:bookmarkEnd w:id="196"/>
    </w:p>
    <w:p w:rsidR="00C7085E" w:rsidRDefault="00C7085E" w:rsidP="00B71B1A">
      <w:pPr>
        <w:spacing w:before="120" w:after="240" w:line="276" w:lineRule="auto"/>
        <w:ind w:right="-285"/>
      </w:pPr>
      <w:r>
        <w:t>Los tubos de acero inoxidable se clasifican por su diámetro nominal (DN), refiriéndose éste a su diámetro exterior (OD) y por el espesor nominal (e).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rPr>
          <w:i/>
        </w:rPr>
      </w:pPr>
      <w:r>
        <w:t>Se utilizarán tuberías de acero inoxidable AISI- 316 L y deberán cumplir las especificaciones establecidas en la UNE-EN 10217: “</w:t>
      </w:r>
      <w:r>
        <w:rPr>
          <w:i/>
        </w:rPr>
        <w:t>Tubos de acero soldados para usos a presión. Condiciones técnicas de suministro. Parte 7: Tubos de acero inoxidable”.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El Adjudicatario presentará las correspondientes certificaciones de composición química y características mecánicas de las tuberías de acero inoxidable y controlará la calidad del acero inoxidable para que el material suministrado se ajuste a lo indicado en la normativa vigente.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tuberías de acero inoxidable se medirán por metros (m) de conducción totalmente terminada y probada en obra y se abonarán, al precio que corresponda, en función del diámetro exterior y del espesor nominal del tubo, de los que figuren en el Cuadro de Precios vigente de Canal de Isabel II Gestión.</w:t>
      </w:r>
    </w:p>
    <w:p w:rsidR="00C7085E" w:rsidRDefault="00C7085E" w:rsidP="00B71B1A">
      <w:pPr>
        <w:spacing w:before="120" w:after="240" w:line="276" w:lineRule="auto"/>
        <w:ind w:right="-285"/>
      </w:pPr>
      <w:r>
        <w:t>En los precios están incluidos, la parte proporcional de junta soldada, los codos y piezas especiales, y todas las pruebas necesarias para asegurar el correcto funcionamiento de la tubería.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97" w:name="_Toc414021807"/>
      <w:bookmarkStart w:id="198" w:name="_Toc448741429"/>
      <w:r>
        <w:t>Hinca de tuberías</w:t>
      </w:r>
      <w:bookmarkEnd w:id="197"/>
      <w:bookmarkEnd w:id="198"/>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keepNext/>
        <w:keepLines/>
        <w:spacing w:before="120" w:after="240" w:line="276" w:lineRule="auto"/>
        <w:ind w:right="-285"/>
        <w:rPr>
          <w:i/>
        </w:rPr>
      </w:pPr>
      <w:r>
        <w:t>Se emplearán como tuberías de hinca, bien tuberías de hormigón armado de conformidad con la Norma UNE-EN 1916, bien tuberías de acero.</w:t>
      </w:r>
    </w:p>
    <w:p w:rsidR="00C7085E" w:rsidRDefault="00C7085E" w:rsidP="00B71B1A">
      <w:pPr>
        <w:spacing w:before="120" w:after="240" w:line="276" w:lineRule="auto"/>
        <w:ind w:right="-285"/>
      </w:pPr>
      <w:r>
        <w:t>Los tubos deberán incluir en su marcado la carga máxima de empuje permitida para el mismo durante la hinca.</w:t>
      </w:r>
    </w:p>
    <w:p w:rsidR="0032619C" w:rsidRDefault="0032619C" w:rsidP="00B71B1A">
      <w:pPr>
        <w:spacing w:before="120" w:after="240" w:line="276" w:lineRule="auto"/>
        <w:ind w:right="-285"/>
      </w:pP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Ejecución</w:t>
      </w:r>
    </w:p>
    <w:p w:rsidR="00C7085E" w:rsidRDefault="00C7085E" w:rsidP="00B71B1A">
      <w:pPr>
        <w:spacing w:before="120" w:after="240" w:line="276" w:lineRule="auto"/>
        <w:ind w:right="-285"/>
      </w:pPr>
      <w:r>
        <w:t>Las conducciones podrán colocarse mediante tecnologías sin apertura de zanja en los siguientes casos:</w:t>
      </w:r>
    </w:p>
    <w:p w:rsidR="00C7085E" w:rsidRDefault="00C7085E" w:rsidP="00B71B1A">
      <w:pPr>
        <w:widowControl/>
        <w:numPr>
          <w:ilvl w:val="0"/>
          <w:numId w:val="12"/>
        </w:numPr>
        <w:spacing w:before="120" w:after="240" w:line="276" w:lineRule="auto"/>
        <w:ind w:right="-285"/>
      </w:pPr>
      <w:r>
        <w:t>Cruces bajo carretera, ferrocarril y en general, pasos de difícil ejecución en los que no sea posible la realización de una zanja sin causar grandes afecciones.</w:t>
      </w:r>
    </w:p>
    <w:p w:rsidR="00C7085E" w:rsidRDefault="00C7085E" w:rsidP="00B71B1A">
      <w:pPr>
        <w:widowControl/>
        <w:numPr>
          <w:ilvl w:val="0"/>
          <w:numId w:val="12"/>
        </w:numPr>
        <w:spacing w:before="120" w:after="240" w:line="276" w:lineRule="auto"/>
        <w:ind w:right="-285"/>
      </w:pPr>
      <w:r>
        <w:t>Aquellos otros casos en los que, por la profundidad de la zanja o la dificultad de la ejecución, resulte económicamente ventajosa la adopción de estas tecnologías.</w:t>
      </w:r>
    </w:p>
    <w:p w:rsidR="00C7085E" w:rsidRDefault="00C7085E" w:rsidP="00B71B1A">
      <w:pPr>
        <w:spacing w:before="120" w:after="240" w:line="276" w:lineRule="auto"/>
        <w:ind w:right="-285"/>
      </w:pPr>
      <w:r>
        <w:t>Para su ejecución deberán tenerse en consideración las condiciones impuestas por el órgano responsable de la infraestructura que es necesario atravesar.</w:t>
      </w:r>
    </w:p>
    <w:p w:rsidR="00C7085E" w:rsidRDefault="00C7085E" w:rsidP="00B71B1A">
      <w:pPr>
        <w:spacing w:before="120" w:after="240" w:line="276" w:lineRule="auto"/>
        <w:ind w:right="-285"/>
      </w:pPr>
      <w:r>
        <w:t>En cualquier caso, deberá disponerse de un estudio geotécnico en que se incluya el perfil geológico-geotécnico de la traza de la tubería a hincar. A partir de los datos de este estudio se elegirá el sistema de perforación a emplear, siendo los más utilizados:</w:t>
      </w:r>
    </w:p>
    <w:p w:rsidR="00C7085E" w:rsidRDefault="00C7085E" w:rsidP="00B71B1A">
      <w:pPr>
        <w:widowControl/>
        <w:numPr>
          <w:ilvl w:val="0"/>
          <w:numId w:val="12"/>
        </w:numPr>
        <w:suppressAutoHyphens/>
        <w:spacing w:before="120" w:after="240" w:line="276" w:lineRule="auto"/>
        <w:ind w:right="-285"/>
      </w:pPr>
      <w:r>
        <w:t>Por percusión: consiste en introducir una camisa de acero a base del empuje transmitido por un martillo neumático. Este sistema está recomendado para terrenos con bolos. La gama de diámetros a emplear va de los doscientos mm (200 mm) hasta los mil milímetros (1.000 mm), dependiendo de las características del terreno a perforar.</w:t>
      </w:r>
    </w:p>
    <w:p w:rsidR="00C7085E" w:rsidRDefault="00C7085E" w:rsidP="00B71B1A">
      <w:pPr>
        <w:widowControl/>
        <w:numPr>
          <w:ilvl w:val="0"/>
          <w:numId w:val="12"/>
        </w:numPr>
        <w:suppressAutoHyphens/>
        <w:spacing w:before="120" w:after="240" w:line="276" w:lineRule="auto"/>
        <w:ind w:right="-285"/>
      </w:pPr>
      <w:r>
        <w:t xml:space="preserve">Por rotación: Únicamente se admite su uso para la hinca de tubos de acero, pues para tubos de hormigón armado, el roce de la broca del equipo de perforación, desgasta progresivamente el tubo hasta su rotura. La perforación se realiza mediante una cabeza de rotación accionada por un grupo hidráulico y que transmite el esfuerzo mediante un tornillo sinfín, </w:t>
      </w:r>
    </w:p>
    <w:p w:rsidR="00C7085E" w:rsidRDefault="00C7085E" w:rsidP="00B71B1A">
      <w:pPr>
        <w:spacing w:before="120" w:after="240" w:line="276" w:lineRule="auto"/>
        <w:ind w:left="720" w:right="-285"/>
      </w:pPr>
      <w:r>
        <w:t>Se puede utilizar en todo tipo de terrenos y el rango de diámetros a emplear va de los trescientos mm (300 mm) hasta los mil quinientos milímetros (1.500 mm), dependiendo de las características del terreno a perforar</w:t>
      </w:r>
    </w:p>
    <w:p w:rsidR="00C7085E" w:rsidRDefault="00C7085E" w:rsidP="00B71B1A">
      <w:pPr>
        <w:widowControl/>
        <w:numPr>
          <w:ilvl w:val="0"/>
          <w:numId w:val="12"/>
        </w:numPr>
        <w:suppressAutoHyphens/>
        <w:spacing w:before="120" w:after="240" w:line="276" w:lineRule="auto"/>
        <w:ind w:right="-285"/>
      </w:pPr>
      <w:r>
        <w:t xml:space="preserve">Por empuje: En este tipo de perforación, se utiliza el tubo como elemento definitivo y al mismo tiempo como elemento de empuje sobre la tuneladora. El método consiste en empujar la tubería desde un pozo e ir hincándola en el terreno a la vez que un elemento excavador por delante de ella va abriendo el hueco aprovechando el empuje transmitido por dicha tubería. </w:t>
      </w:r>
    </w:p>
    <w:p w:rsidR="00C7085E" w:rsidRDefault="00C7085E" w:rsidP="00B71B1A">
      <w:pPr>
        <w:spacing w:before="120" w:after="240" w:line="276" w:lineRule="auto"/>
        <w:ind w:left="720" w:right="-285"/>
        <w:rPr>
          <w:rFonts w:cs="Arial"/>
          <w:color w:val="000000"/>
          <w:shd w:val="clear" w:color="auto" w:fill="FFFFFF"/>
        </w:rPr>
      </w:pPr>
      <w:r>
        <w:t xml:space="preserve">Dependiendo de la estabilidad del frente de excavación y de la presencia a o no de nivel freático, la tuneladora a emplear será de escudo abierto o de escudo cerrado. Para utilizar el sistema de perforación con escudo abierto será imprescindible </w:t>
      </w:r>
      <w:r>
        <w:rPr>
          <w:rFonts w:cs="Arial"/>
          <w:color w:val="000000"/>
          <w:shd w:val="clear" w:color="auto" w:fill="FFFFFF"/>
        </w:rPr>
        <w:t xml:space="preserve">la ausencia de niveles freáticos y el terreno a perforar ha de ser cohesivo, no siendo admisible su uso en terrenos muy sueltos y sin cohesión, muy resistentes o con presencia de agua. </w:t>
      </w:r>
    </w:p>
    <w:p w:rsidR="00C7085E" w:rsidRDefault="00C7085E" w:rsidP="00B71B1A">
      <w:pPr>
        <w:spacing w:before="120" w:after="240" w:line="276" w:lineRule="auto"/>
        <w:ind w:right="-285"/>
      </w:pPr>
      <w:r>
        <w:t xml:space="preserve">En todo caso, el Adjudicatario someterá a la aprobación técnica de la Dirección de Obra, el </w:t>
      </w:r>
      <w:r>
        <w:lastRenderedPageBreak/>
        <w:t>procedimiento de instalación, así como los equipos que propone utilizar, debiendo presentar los correspondientes cálculos mecánicos referentes a las solicitaciones a las cuales estará sometida la conducción durante la instalación, teniendo en consideración las limitaciones por afecciones a otros servicios.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hincas de tuberías se medirán por metro (m) realmente ejecutado, medido sobre perfil y se abonarán al precio que corresponda, en función de su diámetro y del terreno a perforar, de los que figuren en el Cuadro de Precios vigente de Canal de Isabel II Gestión.</w:t>
      </w:r>
    </w:p>
    <w:p w:rsidR="00C7085E" w:rsidRDefault="00C7085E" w:rsidP="00B71B1A">
      <w:pPr>
        <w:spacing w:before="120" w:after="240" w:line="276" w:lineRule="auto"/>
        <w:ind w:right="-285"/>
      </w:pPr>
      <w:r>
        <w:t>En el precio de la unidad se incluye:</w:t>
      </w:r>
    </w:p>
    <w:p w:rsidR="00C7085E" w:rsidRDefault="00C7085E" w:rsidP="00B71B1A">
      <w:pPr>
        <w:pStyle w:val="Prrafodelista"/>
        <w:numPr>
          <w:ilvl w:val="0"/>
          <w:numId w:val="24"/>
        </w:numPr>
        <w:autoSpaceDE w:val="0"/>
        <w:autoSpaceDN w:val="0"/>
        <w:adjustRightInd w:val="0"/>
        <w:spacing w:before="120" w:after="240"/>
        <w:ind w:left="782" w:right="-285" w:hanging="357"/>
        <w:rPr>
          <w:rFonts w:ascii="Arial" w:hAnsi="Arial" w:cs="Arial"/>
          <w:lang w:val="es-ES_tradnl"/>
        </w:rPr>
      </w:pPr>
      <w:r>
        <w:rPr>
          <w:rFonts w:ascii="Arial" w:hAnsi="Arial" w:cs="Arial"/>
          <w:lang w:val="es-ES_tradnl"/>
        </w:rPr>
        <w:t>La movilización de la maquinaria necesaria para la ejecución de la hinca hasta el lugar de las obras.</w:t>
      </w:r>
    </w:p>
    <w:p w:rsidR="00C7085E" w:rsidRDefault="00C7085E" w:rsidP="00B71B1A">
      <w:pPr>
        <w:pStyle w:val="Prrafodelista"/>
        <w:numPr>
          <w:ilvl w:val="0"/>
          <w:numId w:val="24"/>
        </w:numPr>
        <w:autoSpaceDE w:val="0"/>
        <w:autoSpaceDN w:val="0"/>
        <w:adjustRightInd w:val="0"/>
        <w:spacing w:before="120" w:after="240"/>
        <w:ind w:left="782" w:right="-285" w:hanging="357"/>
        <w:rPr>
          <w:rFonts w:ascii="Arial" w:hAnsi="Arial" w:cs="Arial"/>
          <w:lang w:val="es-ES_tradnl"/>
        </w:rPr>
      </w:pPr>
      <w:r>
        <w:rPr>
          <w:rFonts w:ascii="Arial" w:hAnsi="Arial" w:cs="Arial"/>
          <w:lang w:val="es-ES_tradnl"/>
        </w:rPr>
        <w:t>La colocación de la tubería en función del sistema de perforación empleado</w:t>
      </w:r>
      <w:proofErr w:type="gramStart"/>
      <w:r>
        <w:rPr>
          <w:rFonts w:ascii="Arial" w:hAnsi="Arial" w:cs="Arial"/>
          <w:lang w:val="es-ES_tradnl"/>
        </w:rPr>
        <w:t>, , ,</w:t>
      </w:r>
      <w:proofErr w:type="gramEnd"/>
      <w:r>
        <w:rPr>
          <w:rFonts w:ascii="Arial" w:hAnsi="Arial" w:cs="Arial"/>
          <w:lang w:val="es-ES_tradnl"/>
        </w:rPr>
        <w:t xml:space="preserve"> guiada mediante láser.</w:t>
      </w:r>
    </w:p>
    <w:p w:rsidR="00C7085E" w:rsidRDefault="00C7085E" w:rsidP="00B71B1A">
      <w:pPr>
        <w:pStyle w:val="Prrafodelista"/>
        <w:numPr>
          <w:ilvl w:val="0"/>
          <w:numId w:val="24"/>
        </w:numPr>
        <w:autoSpaceDE w:val="0"/>
        <w:autoSpaceDN w:val="0"/>
        <w:adjustRightInd w:val="0"/>
        <w:spacing w:before="120" w:after="240"/>
        <w:ind w:left="782" w:right="-285" w:hanging="357"/>
        <w:rPr>
          <w:rFonts w:ascii="Arial" w:hAnsi="Arial" w:cs="Arial"/>
          <w:lang w:val="es-ES_tradnl"/>
        </w:rPr>
      </w:pPr>
      <w:r>
        <w:rPr>
          <w:rFonts w:ascii="Arial" w:hAnsi="Arial" w:cs="Arial"/>
          <w:lang w:val="es-ES_tradnl"/>
        </w:rPr>
        <w:t>La parte proporcional de juntas, piezas, maquinaria y medios auxiliares.</w:t>
      </w:r>
    </w:p>
    <w:p w:rsidR="00C7085E" w:rsidRDefault="00C7085E" w:rsidP="00B71B1A">
      <w:pPr>
        <w:pStyle w:val="Prrafodelista"/>
        <w:numPr>
          <w:ilvl w:val="0"/>
          <w:numId w:val="24"/>
        </w:numPr>
        <w:autoSpaceDE w:val="0"/>
        <w:autoSpaceDN w:val="0"/>
        <w:adjustRightInd w:val="0"/>
        <w:spacing w:before="120" w:after="240"/>
        <w:ind w:left="782" w:right="-285" w:hanging="357"/>
        <w:rPr>
          <w:rFonts w:ascii="Arial" w:hAnsi="Arial" w:cs="Arial"/>
          <w:lang w:val="es-ES_tradnl"/>
        </w:rPr>
      </w:pPr>
      <w:r>
        <w:rPr>
          <w:rFonts w:ascii="Arial" w:hAnsi="Arial" w:cs="Arial"/>
          <w:lang w:val="es-ES_tradnl"/>
        </w:rPr>
        <w:t>La demolición posterior de macizos, el arrastre y la extracción de sobrantes.</w:t>
      </w:r>
    </w:p>
    <w:p w:rsidR="00C7085E" w:rsidRDefault="00C7085E" w:rsidP="00B71B1A">
      <w:pPr>
        <w:spacing w:before="120" w:after="240" w:line="276" w:lineRule="auto"/>
        <w:ind w:right="-285"/>
        <w:rPr>
          <w:lang w:val="es-ES_tradnl"/>
        </w:rPr>
      </w:pPr>
      <w:r>
        <w:t>El incremento de tubería metálica necesario para su colocación en el interior de la vaina hincada se medirá por metro (m) realmente colocado y se abonará mediante la aplicación del precio que corresponda, en función de su diámetro, de los que figuren en el Cuadro de Precios vigente de Canal de Isabel II Gestión.</w:t>
      </w:r>
    </w:p>
    <w:p w:rsidR="00C7085E" w:rsidRDefault="00C7085E" w:rsidP="00B71B1A">
      <w:pPr>
        <w:spacing w:before="120" w:after="240" w:line="276" w:lineRule="auto"/>
        <w:ind w:right="-285"/>
      </w:pPr>
      <w:r>
        <w:t>En el precio de esta unidad se considera incluida la parte proporcional de elementos de deslizamiento, el centrado y anclaje, los equipos y medios auxiliares de colocación y las pruebas necesarias.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199" w:name="_Toc414021808"/>
      <w:bookmarkStart w:id="200" w:name="_Toc448741430"/>
      <w:r>
        <w:t>Pruebas de la tubería instalada en redes de abastecimiento/agua regenerada</w:t>
      </w:r>
      <w:bookmarkEnd w:id="199"/>
      <w:bookmarkEnd w:id="200"/>
    </w:p>
    <w:p w:rsidR="00C7085E" w:rsidRDefault="00C7085E" w:rsidP="00B71B1A">
      <w:pPr>
        <w:spacing w:before="120" w:after="240" w:line="276" w:lineRule="auto"/>
        <w:ind w:right="-285"/>
        <w:rPr>
          <w:rFonts w:cs="Arial"/>
        </w:rPr>
      </w:pPr>
      <w:r>
        <w:t xml:space="preserve">Las pruebas de la tubería instalada se realizarán conforme a la metodología general de la norma UNE-EN 805: </w:t>
      </w:r>
      <w:r>
        <w:rPr>
          <w:i/>
        </w:rPr>
        <w:t xml:space="preserve">“Abastecimiento de agua. Especificaciones para redes exteriores a los edificios y sus componentes”. </w:t>
      </w:r>
      <w:r>
        <w:t xml:space="preserve">Dicha metodología es de aplicación para todas las conducciones de cualquiera de los materiales incluidos en este Pliego y cuya </w:t>
      </w:r>
      <w:r>
        <w:rPr>
          <w:rFonts w:cs="Arial"/>
        </w:rPr>
        <w:t>finalidad sea prestar servicios de abastecimiento o de agua regenerada.</w:t>
      </w:r>
    </w:p>
    <w:p w:rsidR="00C7085E" w:rsidRDefault="00C7085E" w:rsidP="00B71B1A">
      <w:pPr>
        <w:spacing w:before="120" w:after="240" w:line="276" w:lineRule="auto"/>
        <w:ind w:right="-285"/>
        <w:rPr>
          <w:rFonts w:cs="Arial"/>
        </w:rPr>
      </w:pPr>
      <w:r>
        <w:rPr>
          <w:rFonts w:cs="Arial"/>
        </w:rPr>
        <w:t>Para las tuberías de comportamiento viscoelástico, como las de PE, se deberá seguir el procedimiento de verificación descrito en el Anexo A.27 de dicha norma, que tiene en cuenta la fluencia que caracteriza al material.</w:t>
      </w:r>
    </w:p>
    <w:p w:rsidR="00C7085E" w:rsidRDefault="00C7085E" w:rsidP="00B71B1A">
      <w:pPr>
        <w:spacing w:before="120" w:after="240" w:line="276" w:lineRule="auto"/>
        <w:ind w:right="-285"/>
        <w:rPr>
          <w:rFonts w:cs="Arial"/>
        </w:rPr>
      </w:pPr>
      <w:r>
        <w:rPr>
          <w:rFonts w:cs="Arial"/>
        </w:rPr>
        <w:t>Las pruebas se efectuarán de forma previa a la ejecución de acometidas y deberá probarse la totalidad de la conducción, pudiendo ser dividida en varios tramos de prueba cuando por su longitud sea necesario, siempre según las indicaciones realizadas al respecto por la Dirección de Obra.</w:t>
      </w:r>
    </w:p>
    <w:p w:rsidR="00C7085E" w:rsidRDefault="00C7085E" w:rsidP="00B71B1A">
      <w:pPr>
        <w:spacing w:before="120" w:after="240" w:line="276" w:lineRule="auto"/>
        <w:ind w:right="-285"/>
        <w:rPr>
          <w:rFonts w:cs="Arial"/>
          <w:szCs w:val="22"/>
        </w:rPr>
      </w:pPr>
      <w:r>
        <w:rPr>
          <w:rFonts w:cs="Arial"/>
        </w:rPr>
        <w:t xml:space="preserve">Antes del comienzo de las pruebas, se realizarán las operaciones de relleno y anclaje, así </w:t>
      </w:r>
      <w:r>
        <w:rPr>
          <w:rFonts w:cs="Arial"/>
        </w:rPr>
        <w:lastRenderedPageBreak/>
        <w:t>como la selección y llenado de los tramos de prueba.</w:t>
      </w:r>
    </w:p>
    <w:p w:rsidR="00C7085E" w:rsidRDefault="00C7085E" w:rsidP="00B71B1A">
      <w:pPr>
        <w:spacing w:before="120" w:after="240" w:line="276" w:lineRule="auto"/>
        <w:ind w:right="-285"/>
        <w:rPr>
          <w:rFonts w:cs="Arial"/>
        </w:rPr>
      </w:pPr>
      <w:r>
        <w:rPr>
          <w:rFonts w:cs="Arial"/>
          <w:szCs w:val="22"/>
        </w:rPr>
        <w:t>La longitud de los tramos de prueba dependerá de las</w:t>
      </w:r>
      <w:r>
        <w:rPr>
          <w:rFonts w:cs="Arial"/>
        </w:rPr>
        <w:t xml:space="preserve"> </w:t>
      </w:r>
      <w:r>
        <w:rPr>
          <w:rFonts w:cs="Arial"/>
          <w:szCs w:val="22"/>
        </w:rPr>
        <w:t>características particulares de cada uno de ellos (podrá oscilar entre 250 y 1.000 o incluso 2.000 metros), debiendo ser aprobada por la Dirección de Obra.</w:t>
      </w:r>
    </w:p>
    <w:p w:rsidR="00C7085E" w:rsidRDefault="00C7085E" w:rsidP="00B71B1A">
      <w:pPr>
        <w:spacing w:before="120" w:after="240" w:line="276" w:lineRule="auto"/>
        <w:ind w:right="-285"/>
        <w:rPr>
          <w:rFonts w:cs="Arial"/>
        </w:rPr>
      </w:pPr>
      <w:r>
        <w:rPr>
          <w:rFonts w:cs="Arial"/>
        </w:rPr>
        <w:t>Los tramos de prueba deben ser seleccionados de tal forma que:</w:t>
      </w:r>
    </w:p>
    <w:p w:rsidR="00C7085E" w:rsidRDefault="00C7085E" w:rsidP="00B71B1A">
      <w:pPr>
        <w:widowControl/>
        <w:numPr>
          <w:ilvl w:val="0"/>
          <w:numId w:val="12"/>
        </w:numPr>
        <w:spacing w:before="120" w:after="240" w:line="276" w:lineRule="auto"/>
        <w:ind w:left="714" w:right="-285" w:hanging="357"/>
      </w:pPr>
      <w:r>
        <w:t>La presión de prueba pueda aplicarse al punto más bajo de cada tramo en prueba.</w:t>
      </w:r>
    </w:p>
    <w:p w:rsidR="00C7085E" w:rsidRDefault="00C7085E" w:rsidP="00B71B1A">
      <w:pPr>
        <w:widowControl/>
        <w:numPr>
          <w:ilvl w:val="0"/>
          <w:numId w:val="12"/>
        </w:numPr>
        <w:spacing w:before="120" w:after="240" w:line="276" w:lineRule="auto"/>
        <w:ind w:left="714" w:right="-285" w:hanging="357"/>
      </w:pPr>
      <w:r>
        <w:t>Pueda aplicarse una presión de al menos igual a la presión máxima de diseño (MDP) en el punto más alto de cada uno de ellos.</w:t>
      </w:r>
    </w:p>
    <w:p w:rsidR="00C7085E" w:rsidRDefault="00C7085E" w:rsidP="00B71B1A">
      <w:pPr>
        <w:widowControl/>
        <w:numPr>
          <w:ilvl w:val="0"/>
          <w:numId w:val="12"/>
        </w:numPr>
        <w:spacing w:before="120" w:after="240" w:line="276" w:lineRule="auto"/>
        <w:ind w:left="714" w:right="-285" w:hanging="357"/>
      </w:pPr>
      <w:r>
        <w:t>Pueda suministrarse y evacuarse sin dificultad la cantidad de agua necesaria para la prueba.</w:t>
      </w:r>
    </w:p>
    <w:p w:rsidR="00C7085E" w:rsidRDefault="00C7085E" w:rsidP="00B71B1A">
      <w:pPr>
        <w:widowControl/>
        <w:numPr>
          <w:ilvl w:val="0"/>
          <w:numId w:val="12"/>
        </w:numPr>
        <w:spacing w:before="120" w:after="240" w:line="276" w:lineRule="auto"/>
        <w:ind w:left="714" w:right="-285" w:hanging="357"/>
      </w:pPr>
      <w:r>
        <w:t>En la medida de lo posible, sus extremos coincidan con válvulas de paso de la tubería.</w:t>
      </w:r>
    </w:p>
    <w:p w:rsidR="00C7085E" w:rsidRDefault="00C7085E" w:rsidP="00B71B1A">
      <w:pPr>
        <w:spacing w:before="120" w:after="240" w:line="276" w:lineRule="auto"/>
        <w:ind w:right="-285"/>
      </w:pPr>
      <w:r>
        <w:t>El procedimiento de prueba conforme a la metodología general indicada en la norma UNE-EN 805, se llevará a cabo en tres fases:</w:t>
      </w:r>
    </w:p>
    <w:p w:rsidR="00C7085E" w:rsidRDefault="00C7085E" w:rsidP="00B71B1A">
      <w:pPr>
        <w:widowControl/>
        <w:numPr>
          <w:ilvl w:val="0"/>
          <w:numId w:val="12"/>
        </w:numPr>
        <w:spacing w:before="120" w:after="240" w:line="276" w:lineRule="auto"/>
        <w:ind w:left="714" w:right="-285" w:hanging="357"/>
      </w:pPr>
      <w:r>
        <w:t>Prueba preliminar</w:t>
      </w:r>
    </w:p>
    <w:p w:rsidR="00C7085E" w:rsidRDefault="00C7085E" w:rsidP="00B71B1A">
      <w:pPr>
        <w:widowControl/>
        <w:numPr>
          <w:ilvl w:val="0"/>
          <w:numId w:val="12"/>
        </w:numPr>
        <w:spacing w:before="120" w:after="240" w:line="276" w:lineRule="auto"/>
        <w:ind w:left="714" w:right="-285" w:hanging="357"/>
      </w:pPr>
      <w:r>
        <w:t>Prueba de purga</w:t>
      </w:r>
    </w:p>
    <w:p w:rsidR="00C7085E" w:rsidRDefault="00C7085E" w:rsidP="00B71B1A">
      <w:pPr>
        <w:widowControl/>
        <w:numPr>
          <w:ilvl w:val="0"/>
          <w:numId w:val="12"/>
        </w:numPr>
        <w:spacing w:before="120" w:after="240" w:line="276" w:lineRule="auto"/>
        <w:ind w:left="714" w:right="-285" w:hanging="357"/>
      </w:pPr>
      <w:r>
        <w:t>Prueba principal o de puesta en carga</w:t>
      </w:r>
    </w:p>
    <w:p w:rsidR="00C7085E" w:rsidRDefault="00C7085E" w:rsidP="00B71B1A">
      <w:pPr>
        <w:spacing w:before="120" w:after="240" w:line="276" w:lineRule="auto"/>
        <w:ind w:right="-285"/>
        <w:rPr>
          <w:rFonts w:cs="Arial"/>
        </w:rPr>
      </w:pPr>
      <w:r>
        <w:rPr>
          <w:rFonts w:cs="Arial"/>
        </w:rPr>
        <w:t>Las fases necesarias serán fijadas en cada caso por la Dirección de Obra, que asimismo deberá aprobar el desarrollo de las mismas.</w:t>
      </w:r>
    </w:p>
    <w:p w:rsidR="00C7085E" w:rsidRDefault="00C7085E" w:rsidP="00B71B1A">
      <w:pPr>
        <w:spacing w:before="120" w:after="240" w:line="276" w:lineRule="auto"/>
        <w:ind w:right="-285"/>
        <w:rPr>
          <w:u w:val="single"/>
        </w:rPr>
      </w:pPr>
      <w:r>
        <w:rPr>
          <w:u w:val="single"/>
        </w:rPr>
        <w:t>Prueba preliminar</w:t>
      </w:r>
    </w:p>
    <w:p w:rsidR="00C7085E" w:rsidRDefault="00C7085E" w:rsidP="00B71B1A">
      <w:pPr>
        <w:spacing w:before="120" w:after="240" w:line="276" w:lineRule="auto"/>
        <w:ind w:right="-285"/>
      </w:pPr>
      <w:r>
        <w:t>Se comenzará llenando lentamente de agua el tramo objeto de la prueba. Se dejarán abiertos todos los elementos que puedan dar salida al aire, para después ir cerrando cada uno de ellos sucesivamente de aguas abajo a arriba. Una vez llena de agua se debe mantener la tubería en esta situación al menos veinticuatro horas.</w:t>
      </w:r>
    </w:p>
    <w:p w:rsidR="00C7085E" w:rsidRDefault="00C7085E" w:rsidP="00B71B1A">
      <w:pPr>
        <w:spacing w:before="120" w:after="240" w:line="276" w:lineRule="auto"/>
        <w:ind w:right="-285"/>
      </w:pPr>
      <w:r>
        <w:t>A continuación, se aumentará la presión hidráulica de forma constante y gradual hasta alcanzar un valor comprendido entre la presión máxima de diseño (MDP) y la presión de prueba de la red (STP), de forma que el incremento de presión no supere 0,1 MPa por minuto, manteniendo estos límites durante un tiempo, que dependerá del material de la conducción y será establecido por el Adjudicatario considerando las normas del producto aplicables.</w:t>
      </w:r>
    </w:p>
    <w:p w:rsidR="00C7085E" w:rsidRDefault="00C7085E" w:rsidP="00B71B1A">
      <w:pPr>
        <w:spacing w:before="120" w:after="240" w:line="276" w:lineRule="auto"/>
        <w:ind w:right="-285"/>
      </w:pPr>
      <w:r>
        <w:t>Durante este período de tiempo no debe haber pérdidas apreciables de agua, ni movimientos aparentes de la conducción.</w:t>
      </w:r>
    </w:p>
    <w:p w:rsidR="00C7085E" w:rsidRDefault="00C7085E" w:rsidP="00B71B1A">
      <w:pPr>
        <w:keepNext/>
        <w:keepLines/>
        <w:spacing w:before="120" w:after="240" w:line="276" w:lineRule="auto"/>
        <w:ind w:right="-285"/>
        <w:rPr>
          <w:u w:val="single"/>
        </w:rPr>
      </w:pPr>
      <w:r>
        <w:rPr>
          <w:u w:val="single"/>
        </w:rPr>
        <w:lastRenderedPageBreak/>
        <w:t>Prueba de purga</w:t>
      </w:r>
    </w:p>
    <w:p w:rsidR="00C7085E" w:rsidRDefault="00C7085E" w:rsidP="00B71B1A">
      <w:pPr>
        <w:keepNext/>
        <w:keepLines/>
        <w:spacing w:before="120" w:after="240" w:line="276" w:lineRule="auto"/>
        <w:ind w:right="-285"/>
      </w:pPr>
      <w:r>
        <w:t>La presencia de aire en la conducción produce datos erróneos y reduce la precisión de la prueba principal de presión. La Dirección de Obra especificará si dicha prueba debe llevarse a cabo. En caso afirmativo, se procederá para realizar el ensayo según se describe en el Anexo A.26 de la norma UNE-EN 805, que es el desarrollado en este apartado en los siguientes pasos:</w:t>
      </w:r>
    </w:p>
    <w:p w:rsidR="00C7085E" w:rsidRDefault="00C7085E" w:rsidP="00B71B1A">
      <w:pPr>
        <w:widowControl/>
        <w:numPr>
          <w:ilvl w:val="0"/>
          <w:numId w:val="12"/>
        </w:numPr>
        <w:suppressAutoHyphens/>
        <w:spacing w:before="120" w:after="240" w:line="276" w:lineRule="auto"/>
        <w:ind w:left="714" w:right="-285" w:hanging="357"/>
      </w:pPr>
      <w:r>
        <w:t>Se presuriza la conducción hasta alcanzar la presión de prueba de la red (STP), prestando atención a que la purga del equipo de prueba se complete.</w:t>
      </w:r>
    </w:p>
    <w:p w:rsidR="00C7085E" w:rsidRDefault="00C7085E" w:rsidP="00B71B1A">
      <w:pPr>
        <w:widowControl/>
        <w:numPr>
          <w:ilvl w:val="0"/>
          <w:numId w:val="12"/>
        </w:numPr>
        <w:suppressAutoHyphens/>
        <w:spacing w:before="120" w:after="240" w:line="276" w:lineRule="auto"/>
        <w:ind w:left="714" w:right="-285" w:hanging="357"/>
      </w:pPr>
      <w:r>
        <w:t xml:space="preserve">Se extrae un volumen de agua a contabilizar </w:t>
      </w:r>
      <w:r>
        <w:rPr>
          <w:rFonts w:ascii="Symbol" w:hAnsi="Symbol"/>
        </w:rPr>
        <w:t></w:t>
      </w:r>
      <w:r>
        <w:t xml:space="preserve">V de la conducción midiéndose la caída de presión correspondiente </w:t>
      </w:r>
      <w:r>
        <w:rPr>
          <w:rFonts w:ascii="Symbol" w:hAnsi="Symbol"/>
        </w:rPr>
        <w:t></w:t>
      </w:r>
      <w:r>
        <w:t>P.</w:t>
      </w:r>
    </w:p>
    <w:p w:rsidR="00C7085E" w:rsidRDefault="00C7085E" w:rsidP="00B71B1A">
      <w:pPr>
        <w:widowControl/>
        <w:numPr>
          <w:ilvl w:val="0"/>
          <w:numId w:val="12"/>
        </w:numPr>
        <w:suppressAutoHyphens/>
        <w:spacing w:before="120" w:after="240" w:line="276" w:lineRule="auto"/>
        <w:ind w:left="714" w:right="-285" w:hanging="357"/>
      </w:pPr>
      <w:r>
        <w:t xml:space="preserve">Se compara el volumen de agua extraído con el volumen de la pérdida de agua admisible </w:t>
      </w:r>
      <w:r>
        <w:rPr>
          <w:rFonts w:ascii="Symbol" w:hAnsi="Symbol"/>
        </w:rPr>
        <w:t></w:t>
      </w:r>
      <w:r>
        <w:t>V</w:t>
      </w:r>
      <w:r>
        <w:rPr>
          <w:vertAlign w:val="subscript"/>
        </w:rPr>
        <w:t>max</w:t>
      </w:r>
      <w:r>
        <w:t xml:space="preserve"> correspondiente a la caída de presión medida </w:t>
      </w:r>
      <w:r>
        <w:rPr>
          <w:rFonts w:ascii="Symbol" w:hAnsi="Symbol"/>
        </w:rPr>
        <w:t></w:t>
      </w:r>
      <w:r>
        <w:t>P, calculada según la siguiente fórmula:</w:t>
      </w:r>
    </w:p>
    <w:p w:rsidR="00C7085E" w:rsidRDefault="00C7085E" w:rsidP="00B71B1A">
      <w:pPr>
        <w:spacing w:before="120" w:after="240" w:line="276" w:lineRule="auto"/>
        <w:ind w:right="-285"/>
        <w:jc w:val="center"/>
        <w:rPr>
          <w:rFonts w:cs="Arial"/>
          <w:lang w:val="en-US"/>
        </w:rPr>
      </w:pPr>
      <w:r>
        <w:rPr>
          <w:rFonts w:ascii="Symbol" w:hAnsi="Symbol"/>
        </w:rPr>
        <w:t></w:t>
      </w:r>
      <w:r>
        <w:rPr>
          <w:lang w:val="en-US"/>
        </w:rPr>
        <w:t>V</w:t>
      </w:r>
      <w:r>
        <w:rPr>
          <w:vertAlign w:val="subscript"/>
          <w:lang w:val="en-US"/>
        </w:rPr>
        <w:t>max</w:t>
      </w:r>
      <w:r>
        <w:rPr>
          <w:lang w:val="en-US"/>
        </w:rPr>
        <w:t xml:space="preserve"> = 1,5 V </w:t>
      </w:r>
      <w:r>
        <w:rPr>
          <w:rFonts w:ascii="Symbol" w:hAnsi="Symbol"/>
        </w:rPr>
        <w:t></w:t>
      </w:r>
      <w:r>
        <w:rPr>
          <w:lang w:val="en-US"/>
        </w:rPr>
        <w:t xml:space="preserve">P </w:t>
      </w:r>
      <m:oMath>
        <m:d>
          <m:dPr>
            <m:ctrlPr>
              <w:rPr>
                <w:rFonts w:ascii="Cambria Math" w:hAnsi="Cambria Math" w:cs="Arial"/>
                <w:lang w:val="es-ES_tradnl" w:eastAsia="es-ES_tradnl"/>
              </w:rPr>
            </m:ctrlPr>
          </m:dPr>
          <m:e>
            <m:f>
              <m:fPr>
                <m:ctrlPr>
                  <w:rPr>
                    <w:rFonts w:ascii="Cambria Math" w:hAnsi="Cambria Math" w:cs="Arial"/>
                    <w:lang w:val="es-ES_tradnl" w:eastAsia="es-ES_tradnl"/>
                  </w:rPr>
                </m:ctrlPr>
              </m:fPr>
              <m:num>
                <m:r>
                  <m:rPr>
                    <m:sty m:val="p"/>
                  </m:rPr>
                  <w:rPr>
                    <w:rFonts w:ascii="Cambria Math" w:hAnsi="Cambria Math" w:cs="Arial"/>
                    <w:lang w:val="en-US"/>
                  </w:rPr>
                  <m:t>1</m:t>
                </m:r>
              </m:num>
              <m:den>
                <m:r>
                  <w:rPr>
                    <w:rFonts w:ascii="Cambria Math" w:hAnsi="Cambria Math" w:cs="Arial"/>
                  </w:rPr>
                  <m:t>Ew</m:t>
                </m:r>
              </m:den>
            </m:f>
          </m:e>
        </m:d>
        <m:r>
          <m:rPr>
            <m:sty m:val="p"/>
          </m:rPr>
          <w:rPr>
            <w:rFonts w:ascii="Cambria Math" w:hAnsi="Cambria Math" w:cs="Arial"/>
            <w:lang w:val="en-US"/>
          </w:rPr>
          <m:t xml:space="preserve">+ </m:t>
        </m:r>
        <m:f>
          <m:fPr>
            <m:ctrlPr>
              <w:rPr>
                <w:rFonts w:ascii="Cambria Math" w:hAnsi="Cambria Math" w:cs="Arial"/>
                <w:lang w:val="es-ES_tradnl" w:eastAsia="es-ES_tradnl"/>
              </w:rPr>
            </m:ctrlPr>
          </m:fPr>
          <m:num>
            <m:r>
              <w:rPr>
                <w:rFonts w:ascii="Cambria Math" w:hAnsi="Cambria Math" w:cs="Arial"/>
              </w:rPr>
              <m:t>ID</m:t>
            </m:r>
          </m:num>
          <m:den>
            <m:r>
              <w:rPr>
                <w:rFonts w:ascii="Cambria Math" w:hAnsi="Cambria Math" w:cs="Arial"/>
              </w:rPr>
              <m:t>e</m:t>
            </m:r>
            <m:r>
              <m:rPr>
                <m:sty m:val="p"/>
              </m:rPr>
              <w:rPr>
                <w:rFonts w:ascii="Cambria Math" w:hAnsi="Cambria Math" w:cs="Arial"/>
                <w:lang w:val="en-US"/>
              </w:rPr>
              <m:t xml:space="preserve"> </m:t>
            </m:r>
            <m:r>
              <w:rPr>
                <w:rFonts w:ascii="Cambria Math" w:hAnsi="Cambria Math" w:cs="Arial"/>
              </w:rPr>
              <m:t>E</m:t>
            </m:r>
          </m:den>
        </m:f>
      </m:oMath>
    </w:p>
    <w:p w:rsidR="00C7085E" w:rsidRDefault="00C7085E" w:rsidP="00B71B1A">
      <w:pPr>
        <w:spacing w:before="120" w:after="240" w:line="276" w:lineRule="auto"/>
        <w:ind w:right="-285"/>
        <w:jc w:val="left"/>
        <w:rPr>
          <w:rFonts w:cs="Arial"/>
          <w:szCs w:val="22"/>
          <w:lang w:val="es-ES_tradnl"/>
        </w:rPr>
      </w:pPr>
      <w:r>
        <w:rPr>
          <w:rFonts w:cs="Arial"/>
          <w:szCs w:val="22"/>
        </w:rPr>
        <w:t>Siendo:</w:t>
      </w:r>
    </w:p>
    <w:p w:rsidR="00C7085E" w:rsidRDefault="00C7085E" w:rsidP="00B71B1A">
      <w:pPr>
        <w:spacing w:before="120" w:after="240" w:line="276" w:lineRule="auto"/>
        <w:ind w:right="-285"/>
        <w:jc w:val="left"/>
        <w:rPr>
          <w:rFonts w:cs="Arial"/>
          <w:szCs w:val="22"/>
        </w:rPr>
      </w:pPr>
      <w:r>
        <w:rPr>
          <w:rFonts w:ascii="Symbol" w:hAnsi="Symbol" w:cs="Arial"/>
          <w:szCs w:val="22"/>
        </w:rPr>
        <w:t></w:t>
      </w:r>
      <w:r>
        <w:rPr>
          <w:rFonts w:cs="Arial"/>
          <w:szCs w:val="22"/>
        </w:rPr>
        <w:t>V</w:t>
      </w:r>
      <w:r>
        <w:rPr>
          <w:rFonts w:cs="Arial"/>
          <w:szCs w:val="22"/>
          <w:vertAlign w:val="subscript"/>
        </w:rPr>
        <w:t>max</w:t>
      </w:r>
      <w:r>
        <w:rPr>
          <w:rFonts w:cs="Arial"/>
          <w:szCs w:val="22"/>
        </w:rPr>
        <w:t>:</w:t>
      </w:r>
      <w:r>
        <w:rPr>
          <w:rFonts w:cs="Arial"/>
          <w:szCs w:val="22"/>
        </w:rPr>
        <w:tab/>
        <w:t>Pérdida de agua admisible (l).</w:t>
      </w:r>
    </w:p>
    <w:p w:rsidR="00C7085E" w:rsidRDefault="00C7085E" w:rsidP="00B71B1A">
      <w:pPr>
        <w:spacing w:before="120" w:after="240" w:line="276" w:lineRule="auto"/>
        <w:ind w:right="-285"/>
        <w:jc w:val="left"/>
        <w:rPr>
          <w:rFonts w:cs="Arial"/>
          <w:szCs w:val="22"/>
        </w:rPr>
      </w:pPr>
      <w:r>
        <w:rPr>
          <w:rFonts w:cs="Arial"/>
          <w:szCs w:val="22"/>
        </w:rPr>
        <w:t>V:</w:t>
      </w:r>
      <w:r>
        <w:rPr>
          <w:rFonts w:cs="Arial"/>
          <w:szCs w:val="22"/>
        </w:rPr>
        <w:tab/>
        <w:t>Volumen del tramo de conducción en prueba (l)</w:t>
      </w:r>
    </w:p>
    <w:p w:rsidR="00C7085E" w:rsidRDefault="00C7085E" w:rsidP="00B71B1A">
      <w:pPr>
        <w:spacing w:before="120" w:after="240" w:line="276" w:lineRule="auto"/>
        <w:ind w:right="-285"/>
        <w:jc w:val="left"/>
        <w:rPr>
          <w:rFonts w:cs="Arial"/>
          <w:szCs w:val="22"/>
        </w:rPr>
      </w:pPr>
      <w:r>
        <w:rPr>
          <w:rFonts w:ascii="Symbol" w:hAnsi="Symbol" w:cs="Arial"/>
          <w:szCs w:val="22"/>
        </w:rPr>
        <w:t></w:t>
      </w:r>
      <w:r>
        <w:rPr>
          <w:rFonts w:cs="Arial"/>
          <w:szCs w:val="22"/>
        </w:rPr>
        <w:t>P:</w:t>
      </w:r>
      <w:r>
        <w:rPr>
          <w:rFonts w:cs="Arial"/>
          <w:szCs w:val="22"/>
        </w:rPr>
        <w:tab/>
        <w:t>Caída de presión medida durante la prueba (MPa)</w:t>
      </w:r>
    </w:p>
    <w:p w:rsidR="00C7085E" w:rsidRDefault="00C7085E" w:rsidP="00B71B1A">
      <w:pPr>
        <w:spacing w:before="120" w:after="240" w:line="276" w:lineRule="auto"/>
        <w:ind w:right="-285"/>
        <w:jc w:val="left"/>
        <w:rPr>
          <w:rFonts w:cs="Arial"/>
          <w:szCs w:val="22"/>
        </w:rPr>
      </w:pPr>
      <w:r>
        <w:rPr>
          <w:rFonts w:cs="Arial"/>
          <w:szCs w:val="22"/>
        </w:rPr>
        <w:t>E:</w:t>
      </w:r>
      <w:r>
        <w:rPr>
          <w:rFonts w:cs="Arial"/>
          <w:szCs w:val="22"/>
        </w:rPr>
        <w:tab/>
        <w:t>Módulo de elasticidad del material de la conducción (MPa)</w:t>
      </w:r>
    </w:p>
    <w:p w:rsidR="00C7085E" w:rsidRDefault="00C7085E" w:rsidP="00B71B1A">
      <w:pPr>
        <w:spacing w:before="120" w:after="240" w:line="276" w:lineRule="auto"/>
        <w:ind w:right="-285"/>
        <w:jc w:val="left"/>
        <w:rPr>
          <w:rFonts w:cs="Arial"/>
          <w:szCs w:val="22"/>
        </w:rPr>
      </w:pPr>
      <w:r>
        <w:rPr>
          <w:rFonts w:cs="Arial"/>
          <w:szCs w:val="22"/>
        </w:rPr>
        <w:t>E</w:t>
      </w:r>
      <w:r>
        <w:rPr>
          <w:rFonts w:cs="Arial"/>
          <w:szCs w:val="22"/>
          <w:vertAlign w:val="subscript"/>
        </w:rPr>
        <w:t>W</w:t>
      </w:r>
      <w:r>
        <w:rPr>
          <w:rFonts w:cs="Arial"/>
          <w:szCs w:val="22"/>
        </w:rPr>
        <w:t>:</w:t>
      </w:r>
      <w:r>
        <w:rPr>
          <w:rFonts w:cs="Arial"/>
          <w:szCs w:val="22"/>
        </w:rPr>
        <w:tab/>
        <w:t>Módulo de compresibilidad del agua (2,1x10</w:t>
      </w:r>
      <w:r>
        <w:rPr>
          <w:rFonts w:cs="Arial"/>
          <w:szCs w:val="22"/>
          <w:vertAlign w:val="superscript"/>
        </w:rPr>
        <w:t>3</w:t>
      </w:r>
      <w:r>
        <w:rPr>
          <w:rFonts w:cs="Arial"/>
          <w:szCs w:val="22"/>
        </w:rPr>
        <w:t xml:space="preserve"> MPa)</w:t>
      </w:r>
    </w:p>
    <w:p w:rsidR="00C7085E" w:rsidRDefault="00C7085E" w:rsidP="00B71B1A">
      <w:pPr>
        <w:spacing w:before="120" w:after="240" w:line="276" w:lineRule="auto"/>
        <w:ind w:right="-285"/>
        <w:jc w:val="left"/>
        <w:rPr>
          <w:rFonts w:cs="Arial"/>
          <w:szCs w:val="22"/>
        </w:rPr>
      </w:pPr>
      <w:r>
        <w:rPr>
          <w:rFonts w:cs="Arial"/>
          <w:szCs w:val="22"/>
        </w:rPr>
        <w:t>ID:</w:t>
      </w:r>
      <w:r>
        <w:rPr>
          <w:rFonts w:cs="Arial"/>
          <w:szCs w:val="22"/>
        </w:rPr>
        <w:tab/>
        <w:t>Diámetro interior de la conducción (mm)</w:t>
      </w:r>
    </w:p>
    <w:p w:rsidR="00C7085E" w:rsidRDefault="00C7085E" w:rsidP="00B71B1A">
      <w:pPr>
        <w:spacing w:before="120" w:after="240" w:line="276" w:lineRule="auto"/>
        <w:ind w:right="-285"/>
        <w:jc w:val="left"/>
        <w:rPr>
          <w:rFonts w:cs="Arial"/>
          <w:szCs w:val="22"/>
        </w:rPr>
      </w:pPr>
      <w:r>
        <w:rPr>
          <w:rFonts w:cs="Arial"/>
          <w:szCs w:val="22"/>
        </w:rPr>
        <w:t>E:</w:t>
      </w:r>
      <w:r>
        <w:rPr>
          <w:rFonts w:cs="Arial"/>
          <w:szCs w:val="22"/>
        </w:rPr>
        <w:tab/>
        <w:t>Espesor nominal de la conducción (mm)</w:t>
      </w:r>
    </w:p>
    <w:p w:rsidR="00C7085E" w:rsidRDefault="00C7085E" w:rsidP="00B71B1A">
      <w:pPr>
        <w:spacing w:before="120" w:after="240" w:line="276" w:lineRule="auto"/>
        <w:ind w:right="-285"/>
        <w:jc w:val="left"/>
        <w:rPr>
          <w:rFonts w:cs="Arial"/>
          <w:szCs w:val="22"/>
        </w:rPr>
      </w:pPr>
      <w:r>
        <w:rPr>
          <w:rFonts w:cs="Arial"/>
          <w:szCs w:val="22"/>
        </w:rPr>
        <w:t>1,5:</w:t>
      </w:r>
      <w:r>
        <w:rPr>
          <w:rFonts w:cs="Arial"/>
          <w:szCs w:val="22"/>
        </w:rPr>
        <w:tab/>
        <w:t>Factor de corrección que considera la cantidad de aire restante admisible antes de la prueba principal de presión.</w:t>
      </w:r>
    </w:p>
    <w:p w:rsidR="00C7085E" w:rsidRDefault="00C7085E" w:rsidP="00B71B1A">
      <w:pPr>
        <w:spacing w:before="120" w:after="240" w:line="276" w:lineRule="auto"/>
        <w:ind w:right="-285"/>
        <w:rPr>
          <w:u w:val="single"/>
        </w:rPr>
      </w:pPr>
      <w:r>
        <w:rPr>
          <w:u w:val="single"/>
        </w:rPr>
        <w:t>Prueba principal o de puesta en carga</w:t>
      </w:r>
    </w:p>
    <w:p w:rsidR="00C7085E" w:rsidRDefault="00C7085E" w:rsidP="00B71B1A">
      <w:pPr>
        <w:spacing w:before="120" w:after="240" w:line="276" w:lineRule="auto"/>
        <w:ind w:right="-285"/>
        <w:rPr>
          <w:rFonts w:cs="Arial"/>
        </w:rPr>
      </w:pPr>
      <w:r>
        <w:rPr>
          <w:rFonts w:cs="Arial"/>
        </w:rPr>
        <w:t>La prueba principal de presión no debe comenzar hasta que hayan sido completadas satisfactoriamente la prueba preliminar y la prueba de purga especificada.</w:t>
      </w:r>
    </w:p>
    <w:p w:rsidR="00C7085E" w:rsidRDefault="00C7085E" w:rsidP="00B71B1A">
      <w:pPr>
        <w:spacing w:before="120" w:after="240" w:line="276" w:lineRule="auto"/>
        <w:ind w:right="-285"/>
        <w:rPr>
          <w:rFonts w:cs="Arial"/>
        </w:rPr>
      </w:pPr>
      <w:r>
        <w:rPr>
          <w:rFonts w:cs="Arial"/>
        </w:rPr>
        <w:t>Se admiten dos métodos de prueba básicos:</w:t>
      </w:r>
    </w:p>
    <w:p w:rsidR="00C7085E" w:rsidRDefault="00C7085E" w:rsidP="00B71B1A">
      <w:pPr>
        <w:widowControl/>
        <w:numPr>
          <w:ilvl w:val="0"/>
          <w:numId w:val="12"/>
        </w:numPr>
        <w:spacing w:before="120" w:after="240" w:line="276" w:lineRule="auto"/>
        <w:ind w:left="714" w:right="-285" w:hanging="357"/>
        <w:rPr>
          <w:rFonts w:cs="Arial"/>
        </w:rPr>
      </w:pPr>
      <w:r>
        <w:rPr>
          <w:rFonts w:cs="Arial"/>
        </w:rPr>
        <w:t>El método de prueba de caída o pérdida de presión.</w:t>
      </w:r>
    </w:p>
    <w:p w:rsidR="00C7085E" w:rsidRDefault="00C7085E" w:rsidP="00B71B1A">
      <w:pPr>
        <w:widowControl/>
        <w:numPr>
          <w:ilvl w:val="0"/>
          <w:numId w:val="12"/>
        </w:numPr>
        <w:spacing w:before="120" w:after="240" w:line="276" w:lineRule="auto"/>
        <w:ind w:left="714" w:right="-285" w:hanging="357"/>
        <w:rPr>
          <w:rFonts w:cs="Arial"/>
        </w:rPr>
      </w:pPr>
      <w:r>
        <w:rPr>
          <w:rFonts w:cs="Arial"/>
        </w:rPr>
        <w:t>El método de prueba de pérdida de agua.</w:t>
      </w:r>
    </w:p>
    <w:p w:rsidR="00C7085E" w:rsidRDefault="00C7085E" w:rsidP="00B71B1A">
      <w:pPr>
        <w:keepNext/>
        <w:keepLines/>
        <w:spacing w:before="120" w:after="240" w:line="276" w:lineRule="auto"/>
        <w:ind w:right="-285"/>
        <w:rPr>
          <w:rFonts w:cs="Arial"/>
        </w:rPr>
      </w:pPr>
      <w:r>
        <w:rPr>
          <w:rFonts w:cs="Arial"/>
        </w:rPr>
        <w:lastRenderedPageBreak/>
        <w:t>La Dirección de Obra determinará el método a utilizar, cuyo desarrollo se deberá ajustar a lo siguiente:</w:t>
      </w:r>
    </w:p>
    <w:p w:rsidR="00C7085E" w:rsidRDefault="00C7085E" w:rsidP="00B71B1A">
      <w:pPr>
        <w:keepNext/>
        <w:keepLines/>
        <w:widowControl/>
        <w:numPr>
          <w:ilvl w:val="0"/>
          <w:numId w:val="12"/>
        </w:numPr>
        <w:suppressAutoHyphens/>
        <w:spacing w:before="120" w:after="240" w:line="276" w:lineRule="auto"/>
        <w:ind w:left="714" w:right="-285" w:hanging="357"/>
        <w:rPr>
          <w:rFonts w:cs="Arial"/>
        </w:rPr>
      </w:pPr>
      <w:r>
        <w:rPr>
          <w:rFonts w:cs="Arial"/>
        </w:rPr>
        <w:t>Método de prueba de caída o pérdida de presión</w:t>
      </w:r>
    </w:p>
    <w:p w:rsidR="00C7085E" w:rsidRDefault="00C7085E" w:rsidP="00B71B1A">
      <w:pPr>
        <w:keepNext/>
        <w:keepLines/>
        <w:spacing w:before="120" w:after="240" w:line="276" w:lineRule="auto"/>
        <w:ind w:left="737" w:right="-285"/>
        <w:rPr>
          <w:rFonts w:cs="Arial"/>
          <w:szCs w:val="22"/>
        </w:rPr>
      </w:pPr>
      <w:r>
        <w:rPr>
          <w:rFonts w:cs="Arial"/>
          <w:szCs w:val="22"/>
        </w:rPr>
        <w:t>Para evaluar la pérdida de presión, la presión hidráulica interior se aumentará de forma constante y gradual mediante bombeo, de forma que el incremento de presión no supere 0,1 MPa por minuto, hasta alcanzar el valor de STP.</w:t>
      </w:r>
    </w:p>
    <w:p w:rsidR="00C7085E" w:rsidRDefault="00C7085E" w:rsidP="00B71B1A">
      <w:pPr>
        <w:spacing w:before="120" w:after="240" w:line="276" w:lineRule="auto"/>
        <w:ind w:left="737" w:right="-285"/>
        <w:rPr>
          <w:rFonts w:cs="Arial"/>
          <w:szCs w:val="22"/>
        </w:rPr>
      </w:pPr>
      <w:r>
        <w:rPr>
          <w:rFonts w:cs="Arial"/>
          <w:szCs w:val="22"/>
        </w:rPr>
        <w:t>Alcanzado dicho valor, se desconectará el bombeo y no se admitirá la entrada de agua en al menos una hora. Transcurrido este tiempo, se medirá con un manómetro el descenso de presión durante dicho intervalo, que deberá ser inferior a 0,02 MPa.</w:t>
      </w:r>
    </w:p>
    <w:p w:rsidR="00C7085E" w:rsidRDefault="00C7085E" w:rsidP="00B71B1A">
      <w:pPr>
        <w:widowControl/>
        <w:numPr>
          <w:ilvl w:val="0"/>
          <w:numId w:val="12"/>
        </w:numPr>
        <w:suppressAutoHyphens/>
        <w:spacing w:before="120" w:after="240" w:line="276" w:lineRule="auto"/>
        <w:ind w:left="714" w:right="-285" w:hanging="357"/>
        <w:rPr>
          <w:rFonts w:cs="Arial"/>
        </w:rPr>
      </w:pPr>
      <w:r>
        <w:rPr>
          <w:rFonts w:cs="Arial"/>
        </w:rPr>
        <w:t>Método de prueba de pérdida de agua</w:t>
      </w:r>
    </w:p>
    <w:p w:rsidR="00C7085E" w:rsidRDefault="00C7085E" w:rsidP="00B71B1A">
      <w:pPr>
        <w:spacing w:before="120" w:after="240" w:line="276" w:lineRule="auto"/>
        <w:ind w:left="737" w:right="-285"/>
        <w:rPr>
          <w:rFonts w:cs="Arial"/>
          <w:szCs w:val="22"/>
        </w:rPr>
      </w:pPr>
      <w:r>
        <w:rPr>
          <w:rFonts w:cs="Arial"/>
          <w:szCs w:val="22"/>
        </w:rPr>
        <w:t>Para medir la pérdida de agua se pueden emplear dos métodos equivalentes: medida del volumen evacuado o medida del volumen bombeado.</w:t>
      </w:r>
    </w:p>
    <w:p w:rsidR="00C7085E" w:rsidRDefault="00C7085E" w:rsidP="00B71B1A">
      <w:pPr>
        <w:spacing w:before="120" w:after="240" w:line="276" w:lineRule="auto"/>
        <w:ind w:left="737" w:right="-285"/>
        <w:rPr>
          <w:rFonts w:cs="Arial"/>
          <w:szCs w:val="22"/>
        </w:rPr>
      </w:pPr>
      <w:r>
        <w:rPr>
          <w:rFonts w:cs="Arial"/>
          <w:szCs w:val="22"/>
        </w:rPr>
        <w:t>En ambos métodos se incrementará la presión regularmente mediante bombeo hasta alcanzar el valor de STP en la conducción. Posteriormente se mantendrá la STP mediante bombeo, si es necesario, durante un periodo no inferior a una hora.</w:t>
      </w:r>
    </w:p>
    <w:p w:rsidR="00C7085E" w:rsidRDefault="00C7085E" w:rsidP="00B71B1A">
      <w:pPr>
        <w:spacing w:before="120" w:after="240" w:line="276" w:lineRule="auto"/>
        <w:ind w:left="737" w:right="-285"/>
        <w:rPr>
          <w:rFonts w:cs="Arial"/>
          <w:szCs w:val="22"/>
        </w:rPr>
      </w:pPr>
      <w:r>
        <w:rPr>
          <w:rFonts w:cs="Arial"/>
          <w:szCs w:val="22"/>
        </w:rPr>
        <w:t>Para el método de medida del volumen evacuado, se desconectará la bomba y no se permitirá que entre más agua en la conducción durante un periodo de prueba de al menos una hora. Al final de este periodo se medirá la presión reducida y se procederá a recuperar la STP bombeando. Se medirá la pérdida, evacuando agua hasta que se alcance nuevamente la anterior presión reducida.</w:t>
      </w:r>
    </w:p>
    <w:p w:rsidR="00C7085E" w:rsidRDefault="00C7085E" w:rsidP="00B71B1A">
      <w:pPr>
        <w:spacing w:before="120" w:after="240" w:line="276" w:lineRule="auto"/>
        <w:ind w:left="737" w:right="-285"/>
        <w:rPr>
          <w:rFonts w:cs="Arial"/>
          <w:szCs w:val="22"/>
        </w:rPr>
      </w:pPr>
      <w:r>
        <w:rPr>
          <w:rFonts w:cs="Arial"/>
          <w:szCs w:val="22"/>
        </w:rPr>
        <w:t>Para el método de medida del volumen bombeado, se medirá la cantidad de agua que es necesario inyectar para mantener la presión de prueba de la red durante el periodo de tiempo indicado anteriormente.</w:t>
      </w:r>
    </w:p>
    <w:p w:rsidR="00C7085E" w:rsidRDefault="00C7085E" w:rsidP="00B71B1A">
      <w:pPr>
        <w:spacing w:before="120" w:after="240" w:line="276" w:lineRule="auto"/>
        <w:ind w:left="737" w:right="-285"/>
        <w:rPr>
          <w:rFonts w:cs="Arial"/>
          <w:szCs w:val="22"/>
        </w:rPr>
      </w:pPr>
      <w:r>
        <w:rPr>
          <w:rFonts w:cs="Arial"/>
          <w:szCs w:val="22"/>
        </w:rPr>
        <w:t>El volumen final evacuado o suministrado durante la primera hora de prueba no deberá exceder el valor dado por la siguiente expresión:</w:t>
      </w:r>
    </w:p>
    <w:p w:rsidR="00C7085E" w:rsidRDefault="00C7085E" w:rsidP="00B71B1A">
      <w:pPr>
        <w:spacing w:before="120" w:after="240" w:line="276" w:lineRule="auto"/>
        <w:ind w:right="-285"/>
        <w:jc w:val="center"/>
        <w:rPr>
          <w:rFonts w:cs="Arial"/>
          <w:lang w:val="en-US"/>
        </w:rPr>
      </w:pPr>
      <w:r>
        <w:rPr>
          <w:rFonts w:ascii="Symbol" w:hAnsi="Symbol"/>
        </w:rPr>
        <w:t></w:t>
      </w:r>
      <w:r>
        <w:rPr>
          <w:lang w:val="en-US"/>
        </w:rPr>
        <w:t>V</w:t>
      </w:r>
      <w:r>
        <w:rPr>
          <w:vertAlign w:val="subscript"/>
          <w:lang w:val="en-US"/>
        </w:rPr>
        <w:t>max</w:t>
      </w:r>
      <w:r>
        <w:rPr>
          <w:lang w:val="en-US"/>
        </w:rPr>
        <w:t xml:space="preserve"> = 1,2 V </w:t>
      </w:r>
      <w:r>
        <w:rPr>
          <w:rFonts w:ascii="Symbol" w:hAnsi="Symbol"/>
        </w:rPr>
        <w:t></w:t>
      </w:r>
      <w:r>
        <w:rPr>
          <w:lang w:val="en-US"/>
        </w:rPr>
        <w:t>P</w:t>
      </w:r>
      <m:oMath>
        <m:r>
          <w:rPr>
            <w:rFonts w:ascii="Cambria Math" w:hAnsi="Cambria Math"/>
            <w:lang w:val="en-US"/>
          </w:rPr>
          <m:t xml:space="preserve">  </m:t>
        </m:r>
        <m:d>
          <m:dPr>
            <m:begChr m:val="["/>
            <m:endChr m:val="]"/>
            <m:ctrlPr>
              <w:rPr>
                <w:rFonts w:ascii="Cambria Math" w:hAnsi="Cambria Math"/>
                <w:i/>
                <w:lang w:val="es-ES_tradnl" w:eastAsia="es-ES_tradnl"/>
              </w:rPr>
            </m:ctrlPr>
          </m:dPr>
          <m:e>
            <m:d>
              <m:dPr>
                <m:ctrlPr>
                  <w:rPr>
                    <w:rFonts w:ascii="Cambria Math" w:hAnsi="Cambria Math"/>
                    <w:i/>
                    <w:lang w:val="es-ES_tradnl" w:eastAsia="es-ES_tradnl"/>
                  </w:rPr>
                </m:ctrlPr>
              </m:dPr>
              <m:e>
                <m:f>
                  <m:fPr>
                    <m:ctrlPr>
                      <w:rPr>
                        <w:rFonts w:ascii="Cambria Math" w:hAnsi="Cambria Math"/>
                        <w:i/>
                        <w:lang w:val="es-ES_tradnl" w:eastAsia="es-ES_tradnl"/>
                      </w:rPr>
                    </m:ctrlPr>
                  </m:fPr>
                  <m:num>
                    <m:r>
                      <w:rPr>
                        <w:rFonts w:ascii="Cambria Math" w:hAnsi="Cambria Math"/>
                        <w:lang w:val="en-US"/>
                      </w:rPr>
                      <m:t>1</m:t>
                    </m:r>
                  </m:num>
                  <m:den>
                    <m:r>
                      <w:rPr>
                        <w:rFonts w:ascii="Cambria Math" w:hAnsi="Cambria Math"/>
                      </w:rPr>
                      <m:t>Ew</m:t>
                    </m:r>
                  </m:den>
                </m:f>
              </m:e>
            </m:d>
            <m:r>
              <w:rPr>
                <w:rFonts w:ascii="Cambria Math" w:hAnsi="Cambria Math"/>
                <w:lang w:val="en-US"/>
              </w:rPr>
              <m:t>+</m:t>
            </m:r>
            <m:f>
              <m:fPr>
                <m:ctrlPr>
                  <w:rPr>
                    <w:rFonts w:ascii="Cambria Math" w:hAnsi="Cambria Math"/>
                    <w:i/>
                    <w:lang w:val="es-ES_tradnl" w:eastAsia="es-ES_tradnl"/>
                  </w:rPr>
                </m:ctrlPr>
              </m:fPr>
              <m:num>
                <m:r>
                  <w:rPr>
                    <w:rFonts w:ascii="Cambria Math" w:hAnsi="Cambria Math"/>
                  </w:rPr>
                  <m:t>ID</m:t>
                </m:r>
              </m:num>
              <m:den>
                <m:r>
                  <w:rPr>
                    <w:rFonts w:ascii="Cambria Math" w:hAnsi="Cambria Math"/>
                  </w:rPr>
                  <m:t>e</m:t>
                </m:r>
                <m:r>
                  <w:rPr>
                    <w:rFonts w:ascii="Cambria Math" w:hAnsi="Cambria Math"/>
                    <w:lang w:val="en-US"/>
                  </w:rPr>
                  <m:t xml:space="preserve">  </m:t>
                </m:r>
                <m:r>
                  <w:rPr>
                    <w:rFonts w:ascii="Cambria Math" w:hAnsi="Cambria Math"/>
                  </w:rPr>
                  <m:t>D</m:t>
                </m:r>
              </m:den>
            </m:f>
          </m:e>
        </m:d>
      </m:oMath>
    </w:p>
    <w:p w:rsidR="00C7085E" w:rsidRDefault="00C7085E" w:rsidP="00B71B1A">
      <w:pPr>
        <w:spacing w:before="120" w:after="240" w:line="276" w:lineRule="auto"/>
        <w:ind w:right="-285"/>
        <w:rPr>
          <w:lang w:val="es-ES_tradnl"/>
        </w:rPr>
      </w:pPr>
      <w:r>
        <w:t>Siendo:</w:t>
      </w:r>
    </w:p>
    <w:p w:rsidR="00C7085E" w:rsidRDefault="00C7085E" w:rsidP="00B71B1A">
      <w:pPr>
        <w:spacing w:before="120" w:after="240" w:line="276" w:lineRule="auto"/>
        <w:ind w:right="-285"/>
        <w:jc w:val="left"/>
        <w:rPr>
          <w:rFonts w:cs="Arial"/>
          <w:szCs w:val="22"/>
        </w:rPr>
      </w:pPr>
      <w:r>
        <w:rPr>
          <w:rFonts w:ascii="Symbol" w:hAnsi="Symbol" w:cs="Arial"/>
          <w:szCs w:val="22"/>
        </w:rPr>
        <w:t></w:t>
      </w:r>
      <w:r>
        <w:rPr>
          <w:rFonts w:cs="Arial"/>
          <w:szCs w:val="22"/>
        </w:rPr>
        <w:t>V</w:t>
      </w:r>
      <w:r>
        <w:rPr>
          <w:rFonts w:cs="Arial"/>
          <w:szCs w:val="22"/>
          <w:vertAlign w:val="subscript"/>
        </w:rPr>
        <w:t>max</w:t>
      </w:r>
      <w:r>
        <w:rPr>
          <w:rFonts w:cs="Arial"/>
          <w:szCs w:val="22"/>
        </w:rPr>
        <w:t>:</w:t>
      </w:r>
      <w:r>
        <w:rPr>
          <w:rFonts w:cs="Arial"/>
          <w:szCs w:val="22"/>
        </w:rPr>
        <w:tab/>
        <w:t>Pérdida de agua admisible (l).</w:t>
      </w:r>
    </w:p>
    <w:p w:rsidR="00C7085E" w:rsidRDefault="00C7085E" w:rsidP="00B71B1A">
      <w:pPr>
        <w:spacing w:before="120" w:after="240" w:line="276" w:lineRule="auto"/>
        <w:ind w:right="-285"/>
        <w:jc w:val="left"/>
        <w:rPr>
          <w:rFonts w:cs="Arial"/>
          <w:szCs w:val="22"/>
        </w:rPr>
      </w:pPr>
      <w:r>
        <w:rPr>
          <w:rFonts w:cs="Arial"/>
          <w:szCs w:val="22"/>
        </w:rPr>
        <w:t>V:</w:t>
      </w:r>
      <w:r>
        <w:rPr>
          <w:rFonts w:cs="Arial"/>
          <w:szCs w:val="22"/>
        </w:rPr>
        <w:tab/>
        <w:t>Volumen del tramo de conducción en prueba (l).</w:t>
      </w:r>
    </w:p>
    <w:p w:rsidR="00C7085E" w:rsidRDefault="00C7085E" w:rsidP="00B71B1A">
      <w:pPr>
        <w:spacing w:before="120" w:after="240" w:line="276" w:lineRule="auto"/>
        <w:ind w:right="-285"/>
        <w:jc w:val="left"/>
        <w:rPr>
          <w:rFonts w:cs="Arial"/>
          <w:szCs w:val="22"/>
        </w:rPr>
      </w:pPr>
      <w:r>
        <w:rPr>
          <w:rFonts w:ascii="Symbol" w:hAnsi="Symbol" w:cs="Arial"/>
          <w:szCs w:val="22"/>
        </w:rPr>
        <w:t></w:t>
      </w:r>
      <w:r>
        <w:rPr>
          <w:rFonts w:cs="Arial"/>
          <w:szCs w:val="22"/>
        </w:rPr>
        <w:t>P:</w:t>
      </w:r>
      <w:r>
        <w:rPr>
          <w:rFonts w:cs="Arial"/>
          <w:szCs w:val="22"/>
        </w:rPr>
        <w:tab/>
        <w:t>Caída de presión medida durante la prueba (0,02 MPa)</w:t>
      </w:r>
    </w:p>
    <w:p w:rsidR="00C7085E" w:rsidRDefault="00C7085E" w:rsidP="00B71B1A">
      <w:pPr>
        <w:spacing w:before="120" w:after="240" w:line="276" w:lineRule="auto"/>
        <w:ind w:right="-285"/>
        <w:jc w:val="left"/>
        <w:rPr>
          <w:rFonts w:cs="Arial"/>
          <w:szCs w:val="22"/>
        </w:rPr>
      </w:pPr>
      <w:r>
        <w:rPr>
          <w:rFonts w:cs="Arial"/>
          <w:szCs w:val="22"/>
        </w:rPr>
        <w:t>E:</w:t>
      </w:r>
      <w:r>
        <w:rPr>
          <w:rFonts w:cs="Arial"/>
          <w:szCs w:val="22"/>
        </w:rPr>
        <w:tab/>
        <w:t>Módulo de elasticidad del material de la conducción (MPa)</w:t>
      </w:r>
    </w:p>
    <w:p w:rsidR="00C7085E" w:rsidRDefault="00C7085E" w:rsidP="00B71B1A">
      <w:pPr>
        <w:spacing w:before="120" w:after="240" w:line="276" w:lineRule="auto"/>
        <w:ind w:right="-285"/>
        <w:jc w:val="left"/>
        <w:rPr>
          <w:rFonts w:cs="Arial"/>
          <w:szCs w:val="22"/>
        </w:rPr>
      </w:pPr>
      <w:r>
        <w:rPr>
          <w:rFonts w:cs="Arial"/>
          <w:szCs w:val="22"/>
        </w:rPr>
        <w:t>E</w:t>
      </w:r>
      <w:r>
        <w:rPr>
          <w:rFonts w:cs="Arial"/>
          <w:szCs w:val="22"/>
          <w:vertAlign w:val="subscript"/>
        </w:rPr>
        <w:t>W</w:t>
      </w:r>
      <w:r>
        <w:rPr>
          <w:rFonts w:cs="Arial"/>
          <w:szCs w:val="22"/>
        </w:rPr>
        <w:t>:</w:t>
      </w:r>
      <w:r>
        <w:rPr>
          <w:rFonts w:cs="Arial"/>
          <w:szCs w:val="22"/>
        </w:rPr>
        <w:tab/>
        <w:t>Módulo de compresibilidad del agua (2,1x10</w:t>
      </w:r>
      <w:r>
        <w:rPr>
          <w:rFonts w:cs="Arial"/>
          <w:szCs w:val="22"/>
          <w:vertAlign w:val="superscript"/>
        </w:rPr>
        <w:t>3</w:t>
      </w:r>
      <w:r>
        <w:rPr>
          <w:rFonts w:cs="Arial"/>
          <w:szCs w:val="22"/>
        </w:rPr>
        <w:t xml:space="preserve"> MPa)</w:t>
      </w:r>
    </w:p>
    <w:p w:rsidR="00C7085E" w:rsidRDefault="00C7085E" w:rsidP="00B71B1A">
      <w:pPr>
        <w:spacing w:before="120" w:after="240" w:line="276" w:lineRule="auto"/>
        <w:ind w:right="-285"/>
        <w:jc w:val="left"/>
        <w:rPr>
          <w:rFonts w:cs="Arial"/>
          <w:szCs w:val="22"/>
        </w:rPr>
      </w:pPr>
      <w:r>
        <w:rPr>
          <w:rFonts w:cs="Arial"/>
          <w:szCs w:val="22"/>
        </w:rPr>
        <w:lastRenderedPageBreak/>
        <w:t>ID:</w:t>
      </w:r>
      <w:r>
        <w:rPr>
          <w:rFonts w:cs="Arial"/>
          <w:szCs w:val="22"/>
        </w:rPr>
        <w:tab/>
        <w:t>Diámetro interior de la conducción (mm)</w:t>
      </w:r>
    </w:p>
    <w:p w:rsidR="00C7085E" w:rsidRDefault="00C7085E" w:rsidP="00B71B1A">
      <w:pPr>
        <w:spacing w:before="120" w:after="240" w:line="276" w:lineRule="auto"/>
        <w:ind w:right="-285"/>
        <w:jc w:val="left"/>
        <w:rPr>
          <w:rFonts w:cs="Arial"/>
          <w:szCs w:val="22"/>
        </w:rPr>
      </w:pPr>
      <w:r>
        <w:rPr>
          <w:rFonts w:cs="Arial"/>
          <w:szCs w:val="22"/>
        </w:rPr>
        <w:t>E:</w:t>
      </w:r>
      <w:r>
        <w:rPr>
          <w:rFonts w:cs="Arial"/>
          <w:szCs w:val="22"/>
        </w:rPr>
        <w:tab/>
        <w:t>Espesor nominal de la conducción (mm)</w:t>
      </w:r>
    </w:p>
    <w:p w:rsidR="00C7085E" w:rsidRDefault="00C7085E" w:rsidP="00B71B1A">
      <w:pPr>
        <w:spacing w:before="120" w:after="240" w:line="276" w:lineRule="auto"/>
        <w:ind w:right="-285"/>
        <w:jc w:val="left"/>
        <w:rPr>
          <w:rFonts w:cs="Arial"/>
          <w:szCs w:val="22"/>
        </w:rPr>
      </w:pPr>
      <w:r>
        <w:rPr>
          <w:rFonts w:cs="Arial"/>
          <w:szCs w:val="22"/>
        </w:rPr>
        <w:t>1,2:</w:t>
      </w:r>
      <w:r>
        <w:rPr>
          <w:rFonts w:cs="Arial"/>
          <w:szCs w:val="22"/>
        </w:rPr>
        <w:tab/>
        <w:t>Factor de corrección que, entre otros aspectos, tiene en cuenta el efecto del aire residual existente en la conducción</w:t>
      </w:r>
    </w:p>
    <w:p w:rsidR="00C7085E" w:rsidRDefault="00C7085E" w:rsidP="00B71B1A">
      <w:pPr>
        <w:spacing w:before="120" w:after="240" w:line="276" w:lineRule="auto"/>
        <w:ind w:right="-285"/>
      </w:pPr>
      <w:r>
        <w:t>Cuando, durante la realización de esta prueba principal o de puesta en carga, el descenso de presión o las pérdidas de agua sean superiores a los valores admisibles, el Adjudicatario estará obligado a corregir los defectos observados, repasando las juntas que pierdan agua, cambiando si es preciso algún tubo, de forma que al final se consiga que el resultado de la prueba sea satisfactoria, repitiéndose ésta las veces que sea necesario para conseguirlo.</w:t>
      </w:r>
    </w:p>
    <w:p w:rsidR="00C7085E" w:rsidRDefault="00C7085E" w:rsidP="00B71B1A">
      <w:pPr>
        <w:spacing w:before="120" w:after="240" w:line="276" w:lineRule="auto"/>
        <w:ind w:right="-285"/>
        <w:jc w:val="left"/>
        <w:rPr>
          <w:rFonts w:cs="Arial"/>
          <w:szCs w:val="22"/>
        </w:rPr>
      </w:pPr>
      <w:r>
        <w:rPr>
          <w:rFonts w:cs="Arial"/>
          <w:szCs w:val="22"/>
        </w:rPr>
        <w:t>Todos los gastos ocasionados por las pruebas y ensayos de las tuberías instaladas en redes de abastecimiento o agua regenerada serán de cuenta del Contratista, estando incluidos en los precios de los distintos tipos de tubos.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szCs w:val="20"/>
        </w:rPr>
      </w:pPr>
      <w:bookmarkStart w:id="201" w:name="_Toc414021809"/>
      <w:bookmarkStart w:id="202" w:name="_Toc448741431"/>
      <w:r>
        <w:t xml:space="preserve">Pruebas de la tubería instalada en redes de </w:t>
      </w:r>
      <w:bookmarkEnd w:id="201"/>
      <w:r>
        <w:t>saneamiento</w:t>
      </w:r>
      <w:bookmarkEnd w:id="202"/>
    </w:p>
    <w:p w:rsidR="00C7085E" w:rsidRDefault="00C7085E" w:rsidP="00B71B1A">
      <w:pPr>
        <w:spacing w:before="120" w:after="240" w:line="276" w:lineRule="auto"/>
        <w:ind w:right="-285"/>
      </w:pPr>
      <w:r>
        <w:t>Para la realización de las pruebas de la tubería instalada en redes de saneamiento, la metodología a emplear será diferente según se trate de conducciones cuyo funcionamiento hidráulico sea en gravedad o en impulsión.</w:t>
      </w:r>
    </w:p>
    <w:p w:rsidR="00C7085E" w:rsidRDefault="00C7085E" w:rsidP="00B71B1A">
      <w:pPr>
        <w:spacing w:before="120" w:after="240" w:line="276" w:lineRule="auto"/>
        <w:ind w:right="-285"/>
      </w:pPr>
      <w:r>
        <w:t>Se deberá probar al menos el cincuenta por ciento (50%) de la longitud total de la red instalada, salvo que el respectivo Proyecto especifique otra distinta. La Dirección de Obra determinará los tramos que deben probarse.</w:t>
      </w:r>
    </w:p>
    <w:p w:rsidR="00C7085E" w:rsidRDefault="00C7085E" w:rsidP="00B71B1A">
      <w:pPr>
        <w:spacing w:before="120" w:after="240" w:line="276" w:lineRule="auto"/>
        <w:ind w:right="-285"/>
        <w:rPr>
          <w:u w:val="single"/>
        </w:rPr>
      </w:pPr>
      <w:r>
        <w:rPr>
          <w:u w:val="single"/>
        </w:rPr>
        <w:t>Conducciones enterradas en gravedad</w:t>
      </w:r>
    </w:p>
    <w:p w:rsidR="00C7085E" w:rsidRDefault="00C7085E" w:rsidP="00B71B1A">
      <w:pPr>
        <w:spacing w:before="120" w:after="240" w:line="276" w:lineRule="auto"/>
        <w:ind w:right="-285"/>
      </w:pPr>
      <w:r>
        <w:t xml:space="preserve">Cuando el funcionamiento hidráulico de la conducción sea en gravedad la prueba de la tubería instalada se realizará conforme a la metodología de la norma UNE-EN 1610: </w:t>
      </w:r>
      <w:r>
        <w:rPr>
          <w:i/>
        </w:rPr>
        <w:t xml:space="preserve">“Instalación y pruebas de acometidas y redes de saneamiento”, </w:t>
      </w:r>
      <w:r>
        <w:t>según la cual la prueba podrá hacerse bien con aire o con agua.</w:t>
      </w:r>
    </w:p>
    <w:p w:rsidR="00C7085E" w:rsidRDefault="00C7085E" w:rsidP="00B71B1A">
      <w:pPr>
        <w:spacing w:before="120" w:after="240" w:line="276" w:lineRule="auto"/>
        <w:ind w:right="-285"/>
      </w:pPr>
      <w:r>
        <w:t>En cualquier caso, la prueba se realizará una vez se hayan colocado los tubos, los pozos y previo al relleno de la zanja, para lo que se obturará la entrada de la tubería en el pozo aguas abajo del tramo en prueba, así como cualquier otro punto por el que pudiera salirse el agua, llenándose completamente de agua la tubería y el pozo situado aguas arriba del tramo a probar.</w:t>
      </w:r>
    </w:p>
    <w:p w:rsidR="00C7085E" w:rsidRDefault="00C7085E" w:rsidP="00B71B1A">
      <w:pPr>
        <w:widowControl/>
        <w:numPr>
          <w:ilvl w:val="0"/>
          <w:numId w:val="12"/>
        </w:numPr>
        <w:spacing w:before="120" w:after="240" w:line="276" w:lineRule="auto"/>
        <w:ind w:left="714" w:right="-285" w:hanging="357"/>
      </w:pPr>
      <w:r>
        <w:t>Prueba con aire (método L)</w:t>
      </w:r>
    </w:p>
    <w:p w:rsidR="00C7085E" w:rsidRDefault="00C7085E" w:rsidP="00B71B1A">
      <w:pPr>
        <w:spacing w:before="120" w:after="240" w:line="276" w:lineRule="auto"/>
        <w:ind w:right="-285"/>
      </w:pPr>
      <w:r>
        <w:t>La prueba con aire podrá hacerse conforme a cuatro metodologías diferentes (LA, LB, LC o LD), basadas en que a medida que aumenta la presión del ensayo disminuye la duración de la prueba. La Dirección de Obra establecerá cuál es de aplicación en cada caso.</w:t>
      </w:r>
    </w:p>
    <w:p w:rsidR="00C7085E" w:rsidRDefault="00C7085E" w:rsidP="00B71B1A">
      <w:pPr>
        <w:spacing w:before="120" w:after="240" w:line="276" w:lineRule="auto"/>
        <w:ind w:right="-285"/>
        <w:rPr>
          <w:rFonts w:cs="Arial"/>
        </w:rPr>
      </w:pPr>
      <w:r>
        <w:rPr>
          <w:rFonts w:cs="Arial"/>
        </w:rPr>
        <w:t xml:space="preserve">Los valores de la presión de prueba (STP), la duración del ensayo (t) y el descenso de presión </w:t>
      </w:r>
      <w:r>
        <w:rPr>
          <w:rFonts w:cs="Arial"/>
          <w:szCs w:val="22"/>
        </w:rPr>
        <w:t>admisible (</w:t>
      </w:r>
      <w:r>
        <w:rPr>
          <w:rFonts w:cs="Arial"/>
          <w:szCs w:val="22"/>
        </w:rPr>
        <w:sym w:font="Symbol" w:char="F044"/>
      </w:r>
      <w:r>
        <w:rPr>
          <w:rFonts w:cs="Arial"/>
          <w:szCs w:val="22"/>
        </w:rPr>
        <w:t xml:space="preserve">P) serán los establecidos en la tabla siguiente, según cual sea el </w:t>
      </w:r>
      <w:r>
        <w:rPr>
          <w:rFonts w:cs="Arial"/>
          <w:szCs w:val="22"/>
        </w:rPr>
        <w:lastRenderedPageBreak/>
        <w:t>material de la conducción, el diámetro nominal y el método de prueba seleccionado.</w:t>
      </w:r>
    </w:p>
    <w:tbl>
      <w:tblPr>
        <w:tblStyle w:val="Tablaconcuadrcula"/>
        <w:tblW w:w="9165" w:type="dxa"/>
        <w:jc w:val="center"/>
        <w:tblLayout w:type="fixed"/>
        <w:tblLook w:val="04A0" w:firstRow="1" w:lastRow="0" w:firstColumn="1" w:lastColumn="0" w:noHBand="0" w:noVBand="1"/>
      </w:tblPr>
      <w:tblGrid>
        <w:gridCol w:w="1891"/>
        <w:gridCol w:w="851"/>
        <w:gridCol w:w="513"/>
        <w:gridCol w:w="513"/>
        <w:gridCol w:w="775"/>
        <w:gridCol w:w="747"/>
        <w:gridCol w:w="775"/>
        <w:gridCol w:w="775"/>
        <w:gridCol w:w="775"/>
        <w:gridCol w:w="775"/>
        <w:gridCol w:w="775"/>
      </w:tblGrid>
      <w:tr w:rsidR="00C7085E" w:rsidTr="00C7085E">
        <w:trPr>
          <w:jc w:val="center"/>
        </w:trPr>
        <w:tc>
          <w:tcPr>
            <w:tcW w:w="18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4"/>
                <w:szCs w:val="14"/>
              </w:rPr>
            </w:pPr>
            <w:r>
              <w:rPr>
                <w:sz w:val="14"/>
                <w:szCs w:val="14"/>
              </w:rPr>
              <w:t>Material</w:t>
            </w:r>
          </w:p>
        </w:tc>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t>Método prueba</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t>STP</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sym w:font="Symbol" w:char="F044"/>
            </w:r>
            <w:r>
              <w:rPr>
                <w:rFonts w:cs="Arial"/>
                <w:b/>
                <w:sz w:val="14"/>
                <w:szCs w:val="14"/>
              </w:rPr>
              <w:t>P</w:t>
            </w:r>
          </w:p>
        </w:tc>
        <w:tc>
          <w:tcPr>
            <w:tcW w:w="539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t>Duración de la prueba t (minutos)</w:t>
            </w:r>
          </w:p>
        </w:tc>
      </w:tr>
      <w:tr w:rsidR="00C7085E" w:rsidTr="00C7085E">
        <w:trPr>
          <w:jc w:val="center"/>
        </w:trPr>
        <w:tc>
          <w:tcPr>
            <w:tcW w:w="18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sz w:val="14"/>
                <w:szCs w:val="14"/>
                <w:lang w:val="es-ES_tradnl" w:eastAsia="es-ES_tradnl"/>
              </w:rPr>
            </w:pPr>
          </w:p>
        </w:tc>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rFonts w:cs="Arial"/>
                <w:b/>
                <w:sz w:val="14"/>
                <w:szCs w:val="14"/>
                <w:lang w:val="es-ES_tradnl" w:eastAsia="es-ES_tradnl"/>
              </w:rPr>
            </w:pP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t>(mbar)</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t>DN 100</w:t>
            </w:r>
          </w:p>
        </w:tc>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t>DN 200</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t>DN 300</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t>DN 400</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t>DN 600</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t>DN 800</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b/>
                <w:sz w:val="14"/>
                <w:szCs w:val="14"/>
              </w:rPr>
            </w:pPr>
            <w:r>
              <w:rPr>
                <w:rFonts w:cs="Arial"/>
                <w:b/>
                <w:sz w:val="14"/>
                <w:szCs w:val="14"/>
              </w:rPr>
              <w:t>DN 1000</w:t>
            </w:r>
          </w:p>
        </w:tc>
      </w:tr>
      <w:tr w:rsidR="00C7085E" w:rsidTr="00C7085E">
        <w:trPr>
          <w:jc w:val="center"/>
        </w:trPr>
        <w:tc>
          <w:tcPr>
            <w:tcW w:w="18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4"/>
                <w:szCs w:val="14"/>
              </w:rPr>
            </w:pPr>
            <w:r>
              <w:rPr>
                <w:sz w:val="14"/>
                <w:szCs w:val="14"/>
              </w:rPr>
              <w:t>Tubería de hormigón seca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LA</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10</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2,5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5</w:t>
            </w:r>
          </w:p>
        </w:tc>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7</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11</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14</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18</w:t>
            </w:r>
          </w:p>
        </w:tc>
      </w:tr>
      <w:tr w:rsidR="00C7085E" w:rsidTr="00C7085E">
        <w:trPr>
          <w:jc w:val="center"/>
        </w:trPr>
        <w:tc>
          <w:tcPr>
            <w:tcW w:w="18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sz w:val="14"/>
                <w:szCs w:val="14"/>
                <w:lang w:val="es-ES_tradnl" w:eastAsia="es-ES_tradn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LB</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50</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10</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4</w:t>
            </w:r>
          </w:p>
        </w:tc>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4</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4</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6</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8</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11</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14</w:t>
            </w:r>
          </w:p>
        </w:tc>
      </w:tr>
      <w:tr w:rsidR="00C7085E" w:rsidTr="00C7085E">
        <w:trPr>
          <w:jc w:val="center"/>
        </w:trPr>
        <w:tc>
          <w:tcPr>
            <w:tcW w:w="18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sz w:val="14"/>
                <w:szCs w:val="14"/>
                <w:lang w:val="es-ES_tradnl" w:eastAsia="es-ES_tradn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LC</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100</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3</w:t>
            </w:r>
          </w:p>
        </w:tc>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3</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3</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4</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6</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8</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10</w:t>
            </w:r>
          </w:p>
        </w:tc>
      </w:tr>
      <w:tr w:rsidR="00C7085E" w:rsidTr="00C7085E">
        <w:trPr>
          <w:jc w:val="center"/>
        </w:trPr>
        <w:tc>
          <w:tcPr>
            <w:tcW w:w="18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sz w:val="14"/>
                <w:szCs w:val="14"/>
                <w:lang w:val="es-ES_tradnl" w:eastAsia="es-ES_tradn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LD</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200</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1,5</w:t>
            </w:r>
          </w:p>
        </w:tc>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2</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3</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4</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5</w:t>
            </w:r>
          </w:p>
        </w:tc>
      </w:tr>
      <w:tr w:rsidR="00C7085E" w:rsidTr="00C7085E">
        <w:trPr>
          <w:jc w:val="center"/>
        </w:trPr>
        <w:tc>
          <w:tcPr>
            <w:tcW w:w="18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center"/>
              <w:rPr>
                <w:sz w:val="14"/>
                <w:szCs w:val="14"/>
              </w:rPr>
            </w:pPr>
            <w:r>
              <w:rPr>
                <w:sz w:val="14"/>
                <w:szCs w:val="14"/>
              </w:rPr>
              <w:t>Tubería de hormigón y de otros materiales mojada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LA</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10</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2,5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5</w:t>
            </w:r>
          </w:p>
        </w:tc>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7</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10</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14</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19</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24</w:t>
            </w:r>
          </w:p>
        </w:tc>
      </w:tr>
      <w:tr w:rsidR="00C7085E" w:rsidTr="00C7085E">
        <w:trPr>
          <w:jc w:val="center"/>
        </w:trPr>
        <w:tc>
          <w:tcPr>
            <w:tcW w:w="18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sz w:val="14"/>
                <w:szCs w:val="14"/>
                <w:lang w:val="es-ES_tradnl" w:eastAsia="es-ES_tradn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LB</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50</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10</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4</w:t>
            </w:r>
          </w:p>
        </w:tc>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4</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6</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7</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11</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19</w:t>
            </w:r>
          </w:p>
        </w:tc>
      </w:tr>
      <w:tr w:rsidR="00C7085E" w:rsidTr="00C7085E">
        <w:trPr>
          <w:jc w:val="center"/>
        </w:trPr>
        <w:tc>
          <w:tcPr>
            <w:tcW w:w="18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sz w:val="14"/>
                <w:szCs w:val="14"/>
                <w:lang w:val="es-ES_tradnl" w:eastAsia="es-ES_tradn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LC</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100</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3</w:t>
            </w:r>
          </w:p>
        </w:tc>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3</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4</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8</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11</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14</w:t>
            </w:r>
          </w:p>
        </w:tc>
      </w:tr>
      <w:tr w:rsidR="00C7085E" w:rsidTr="00C7085E">
        <w:trPr>
          <w:jc w:val="center"/>
        </w:trPr>
        <w:tc>
          <w:tcPr>
            <w:tcW w:w="18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jc w:val="left"/>
              <w:rPr>
                <w:sz w:val="14"/>
                <w:szCs w:val="14"/>
                <w:lang w:val="es-ES_tradnl" w:eastAsia="es-ES_tradn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LD</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200</w:t>
            </w:r>
          </w:p>
        </w:tc>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1,5</w:t>
            </w:r>
          </w:p>
        </w:tc>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1,5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2</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2,5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4</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5</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keepNext/>
              <w:spacing w:before="120" w:after="240" w:line="276" w:lineRule="auto"/>
              <w:ind w:right="-285"/>
              <w:jc w:val="center"/>
              <w:rPr>
                <w:rFonts w:cs="Arial"/>
                <w:sz w:val="14"/>
                <w:szCs w:val="14"/>
              </w:rPr>
            </w:pPr>
            <w:r>
              <w:rPr>
                <w:rFonts w:cs="Arial"/>
                <w:sz w:val="14"/>
                <w:szCs w:val="14"/>
              </w:rPr>
              <w:t>7</w:t>
            </w:r>
          </w:p>
        </w:tc>
      </w:tr>
    </w:tbl>
    <w:p w:rsidR="00C7085E" w:rsidRDefault="00C7085E" w:rsidP="00B71B1A">
      <w:pPr>
        <w:pStyle w:val="Tabla"/>
        <w:spacing w:before="120" w:line="276" w:lineRule="auto"/>
        <w:ind w:right="-285"/>
      </w:pPr>
      <w:r>
        <w:t>Presión de prueba, indicador de presión y tiempo para ensayos con aire</w:t>
      </w:r>
    </w:p>
    <w:p w:rsidR="00C7085E" w:rsidRDefault="00C7085E" w:rsidP="00B71B1A">
      <w:pPr>
        <w:keepNext/>
        <w:keepLines/>
        <w:widowControl/>
        <w:numPr>
          <w:ilvl w:val="0"/>
          <w:numId w:val="12"/>
        </w:numPr>
        <w:spacing w:before="120" w:after="240" w:line="276" w:lineRule="auto"/>
        <w:ind w:left="714" w:right="-285" w:hanging="357"/>
      </w:pPr>
      <w:r>
        <w:t>Prueba con agua (método W)</w:t>
      </w:r>
    </w:p>
    <w:p w:rsidR="00C7085E" w:rsidRDefault="00C7085E" w:rsidP="00B71B1A">
      <w:pPr>
        <w:keepNext/>
        <w:keepLines/>
        <w:spacing w:before="120" w:after="240" w:line="276" w:lineRule="auto"/>
        <w:ind w:right="-285"/>
        <w:rPr>
          <w:rFonts w:cs="Arial"/>
        </w:rPr>
      </w:pPr>
      <w:r>
        <w:rPr>
          <w:rFonts w:cs="Arial"/>
        </w:rPr>
        <w:t>La prueba con agua consistirá en someter al tramo en prueba a una presión de prueba que no deberá ser superior a 0,50 kg/cm</w:t>
      </w:r>
      <w:r>
        <w:rPr>
          <w:rFonts w:cs="Arial"/>
          <w:vertAlign w:val="superscript"/>
        </w:rPr>
        <w:t>2</w:t>
      </w:r>
      <w:r>
        <w:rPr>
          <w:rFonts w:cs="Arial"/>
        </w:rPr>
        <w:t xml:space="preserve"> ni inferior a 0,10 kg/cm</w:t>
      </w:r>
      <w:r>
        <w:rPr>
          <w:rFonts w:cs="Arial"/>
          <w:vertAlign w:val="superscript"/>
        </w:rPr>
        <w:t>2</w:t>
      </w:r>
      <w:r>
        <w:rPr>
          <w:rFonts w:cs="Arial"/>
        </w:rPr>
        <w:t>.</w:t>
      </w:r>
    </w:p>
    <w:p w:rsidR="00C7085E" w:rsidRDefault="00C7085E" w:rsidP="00B71B1A">
      <w:pPr>
        <w:spacing w:before="120" w:after="240" w:line="276" w:lineRule="auto"/>
        <w:ind w:right="-285"/>
        <w:rPr>
          <w:rFonts w:cs="Arial"/>
        </w:rPr>
      </w:pPr>
      <w:r>
        <w:rPr>
          <w:rFonts w:cs="Arial"/>
        </w:rPr>
        <w:t>Transcurridos sesenta minutos del llenado de los tubos se inspeccionarán los tubos, las juntas y los pozos, comprobándose que no haya pérdidas de agua significativas ni movimientos aparentes en la tubería.</w:t>
      </w:r>
    </w:p>
    <w:p w:rsidR="00C7085E" w:rsidRDefault="00C7085E" w:rsidP="00B71B1A">
      <w:pPr>
        <w:spacing w:before="120" w:after="240" w:line="276" w:lineRule="auto"/>
        <w:ind w:right="-285"/>
        <w:rPr>
          <w:rFonts w:cs="Arial"/>
        </w:rPr>
      </w:pPr>
      <w:r>
        <w:rPr>
          <w:rFonts w:cs="Arial"/>
        </w:rPr>
        <w:t>A continuación, se procederá a medir y a anotar la cantidad de agua (</w:t>
      </w:r>
      <w:r>
        <w:rPr>
          <w:rFonts w:cs="Arial"/>
          <w:szCs w:val="22"/>
        </w:rPr>
        <w:sym w:font="Symbol" w:char="F044"/>
      </w:r>
      <w:r>
        <w:rPr>
          <w:rFonts w:cs="Arial"/>
        </w:rPr>
        <w:t>V) que es necesario inyectar para mantener la presión de prueba (± 0,001 MPa) durante un periodo no inferior a treinta minutos, debiendo ser ésta inferior a los siguientes valores:</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0,15 l/m</w:t>
      </w:r>
      <w:r>
        <w:rPr>
          <w:rFonts w:ascii="Arial" w:hAnsi="Arial" w:cs="Arial"/>
          <w:vertAlign w:val="superscript"/>
          <w:lang w:val="es-ES_tradnl"/>
        </w:rPr>
        <w:t>2</w:t>
      </w:r>
      <w:r>
        <w:rPr>
          <w:rFonts w:ascii="Arial" w:hAnsi="Arial" w:cs="Arial"/>
          <w:lang w:val="es-ES_tradnl"/>
        </w:rPr>
        <w:t xml:space="preserve"> para las tuberías</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0,20 l/m</w:t>
      </w:r>
      <w:r>
        <w:rPr>
          <w:rFonts w:ascii="Arial" w:hAnsi="Arial" w:cs="Arial"/>
          <w:vertAlign w:val="superscript"/>
          <w:lang w:val="es-ES_tradnl"/>
        </w:rPr>
        <w:t>2</w:t>
      </w:r>
      <w:r>
        <w:rPr>
          <w:rFonts w:ascii="Arial" w:hAnsi="Arial" w:cs="Arial"/>
          <w:lang w:val="es-ES_tradnl"/>
        </w:rPr>
        <w:t xml:space="preserve"> para tuberías incluyendo los pozos de registro</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0,40 l/m</w:t>
      </w:r>
      <w:r>
        <w:rPr>
          <w:rFonts w:ascii="Arial" w:hAnsi="Arial" w:cs="Arial"/>
          <w:vertAlign w:val="superscript"/>
          <w:lang w:val="es-ES_tradnl"/>
        </w:rPr>
        <w:t>2</w:t>
      </w:r>
      <w:r>
        <w:rPr>
          <w:rFonts w:ascii="Arial" w:hAnsi="Arial" w:cs="Arial"/>
          <w:lang w:val="es-ES_tradnl"/>
        </w:rPr>
        <w:t xml:space="preserve"> para los pozos de registro</w:t>
      </w:r>
    </w:p>
    <w:p w:rsidR="00C7085E" w:rsidRDefault="00C7085E" w:rsidP="00B71B1A">
      <w:pPr>
        <w:spacing w:before="120" w:after="240" w:line="276" w:lineRule="auto"/>
        <w:ind w:right="-285"/>
        <w:rPr>
          <w:u w:val="single"/>
          <w:lang w:val="es-ES_tradnl"/>
        </w:rPr>
      </w:pPr>
      <w:r>
        <w:rPr>
          <w:u w:val="single"/>
        </w:rPr>
        <w:t>Conducciones enterradas en impulsión</w:t>
      </w:r>
    </w:p>
    <w:p w:rsidR="00C7085E" w:rsidRDefault="00C7085E" w:rsidP="00B71B1A">
      <w:pPr>
        <w:spacing w:before="120" w:after="240" w:line="276" w:lineRule="auto"/>
        <w:ind w:right="-285"/>
      </w:pPr>
      <w:r>
        <w:t>Cuando el funcionamiento hidráulico de la conducción sea en impulsión, la prueba de la tubería instalada se realizará conforme a la metodología general de la norma UNE-EN 805.</w:t>
      </w:r>
    </w:p>
    <w:p w:rsidR="00C7085E" w:rsidRDefault="00C7085E" w:rsidP="00B71B1A">
      <w:pPr>
        <w:spacing w:before="120" w:after="240" w:line="276" w:lineRule="auto"/>
        <w:ind w:right="-285"/>
      </w:pPr>
      <w:r>
        <w:t xml:space="preserve">Dicha metodología general es de aplicación para las conducciones de cualquiera de los materiales incluidos en este Pliego excepto para las de comportamiento viscoelástico, como </w:t>
      </w:r>
      <w:r>
        <w:lastRenderedPageBreak/>
        <w:t>las de PE, en cuyo caso el procedimiento de verificación a seguir será el descrito en el Anexo A.27 de dicha norma.</w:t>
      </w:r>
    </w:p>
    <w:p w:rsidR="00C7085E" w:rsidRDefault="00C7085E" w:rsidP="00B71B1A">
      <w:pPr>
        <w:spacing w:before="120" w:after="240" w:line="276" w:lineRule="auto"/>
        <w:ind w:right="-285"/>
      </w:pPr>
      <w:r>
        <w:t>El procedimiento de prueba se llevará a cabo en dos fases:</w:t>
      </w:r>
    </w:p>
    <w:p w:rsidR="00C7085E" w:rsidRDefault="00C7085E" w:rsidP="00B71B1A">
      <w:pPr>
        <w:widowControl/>
        <w:numPr>
          <w:ilvl w:val="0"/>
          <w:numId w:val="12"/>
        </w:numPr>
        <w:spacing w:before="120" w:after="240" w:line="276" w:lineRule="auto"/>
        <w:ind w:left="714" w:right="-285" w:hanging="357"/>
      </w:pPr>
      <w:r>
        <w:t>Etapa preliminar</w:t>
      </w:r>
    </w:p>
    <w:p w:rsidR="00C7085E" w:rsidRDefault="00C7085E" w:rsidP="00B71B1A">
      <w:pPr>
        <w:widowControl/>
        <w:numPr>
          <w:ilvl w:val="0"/>
          <w:numId w:val="12"/>
        </w:numPr>
        <w:spacing w:before="120" w:after="240" w:line="276" w:lineRule="auto"/>
        <w:ind w:left="714" w:right="-285" w:hanging="357"/>
      </w:pPr>
      <w:r>
        <w:t>Etapa principal o de puesta en carga</w:t>
      </w:r>
    </w:p>
    <w:p w:rsidR="00C7085E" w:rsidRDefault="00C7085E" w:rsidP="00B71B1A">
      <w:pPr>
        <w:spacing w:before="120" w:after="240" w:line="276" w:lineRule="auto"/>
        <w:ind w:right="-285"/>
      </w:pPr>
      <w:r>
        <w:t>Las pruebas se efectuarán de forma previa a la ejecución de acometidas y la longitud de los tramos de prueba podrá oscilar entre 500 y 1.000 ó incluso 2.000 metros.</w:t>
      </w:r>
    </w:p>
    <w:p w:rsidR="00C7085E" w:rsidRDefault="00C7085E" w:rsidP="00B71B1A">
      <w:pPr>
        <w:widowControl/>
        <w:numPr>
          <w:ilvl w:val="0"/>
          <w:numId w:val="12"/>
        </w:numPr>
        <w:spacing w:before="120" w:after="240" w:line="276" w:lineRule="auto"/>
        <w:ind w:left="714" w:right="-285" w:hanging="357"/>
      </w:pPr>
      <w:r>
        <w:t>Etapa preliminar</w:t>
      </w:r>
    </w:p>
    <w:p w:rsidR="00C7085E" w:rsidRDefault="00C7085E" w:rsidP="00B71B1A">
      <w:pPr>
        <w:spacing w:before="120" w:after="240" w:line="276" w:lineRule="auto"/>
        <w:ind w:right="-285"/>
      </w:pPr>
      <w:r>
        <w:t>La etapa preliminar de la prueba comenzará llenando lentamente de agua el tramo objeto de la misma. Se dejarán abiertos todos los elementos que puedan dar salida al aire, para después ir cerrando cada uno de ellos sucesivamente de aguas abajo a arriba. Una vez llena de agua se debe mantener en esta situación al menos veinticuatro horas.</w:t>
      </w:r>
    </w:p>
    <w:p w:rsidR="00C7085E" w:rsidRDefault="00C7085E" w:rsidP="00B71B1A">
      <w:pPr>
        <w:spacing w:before="120" w:after="240" w:line="276" w:lineRule="auto"/>
        <w:ind w:right="-285"/>
      </w:pPr>
      <w:r>
        <w:t>A continuación, se aumentará la presión hidráulica de forma constante y gradual hasta alcanzar un valor comprendido entre la presión máxima de diseño (MDP) y la presión de prueba de la red (STP), de forma que el incremento de presión no supere 0,1 MPa por minuto, manteniendo estos límites durante un tiempo, que dependerá del material de la conducción y será establecido por el Adjudicatario considerando las normas del producto aplicables.</w:t>
      </w:r>
    </w:p>
    <w:p w:rsidR="00C7085E" w:rsidRDefault="00C7085E" w:rsidP="00B71B1A">
      <w:pPr>
        <w:spacing w:before="120" w:after="240" w:line="276" w:lineRule="auto"/>
        <w:ind w:right="-285"/>
      </w:pPr>
      <w:r>
        <w:t>Durante este período de tiempo no debe haber pérdidas apreciables de agua, ni movimientos aparentes de la conducción.</w:t>
      </w:r>
    </w:p>
    <w:p w:rsidR="00C7085E" w:rsidRDefault="00C7085E" w:rsidP="00B71B1A">
      <w:pPr>
        <w:keepNext/>
        <w:keepLines/>
        <w:widowControl/>
        <w:numPr>
          <w:ilvl w:val="0"/>
          <w:numId w:val="12"/>
        </w:numPr>
        <w:spacing w:before="120" w:after="240" w:line="276" w:lineRule="auto"/>
        <w:ind w:left="714" w:right="-285" w:hanging="357"/>
      </w:pPr>
      <w:r>
        <w:t>Etapa principal o de puesta en carga</w:t>
      </w:r>
    </w:p>
    <w:p w:rsidR="00C7085E" w:rsidRDefault="00C7085E" w:rsidP="00B71B1A">
      <w:pPr>
        <w:keepNext/>
        <w:keepLines/>
        <w:spacing w:before="120" w:after="240" w:line="276" w:lineRule="auto"/>
        <w:ind w:right="-285"/>
      </w:pPr>
      <w:r>
        <w:t>Una vez superada la etapa preliminar, la presión hidráulica interior se aumentará de forma constante y gradual, mediante bombeo, de forma que el incremento de presión no supere 0,1 MPa por minuto, hasta alcanzar el valor de STP.</w:t>
      </w:r>
    </w:p>
    <w:p w:rsidR="00C7085E" w:rsidRDefault="00C7085E" w:rsidP="00B71B1A">
      <w:pPr>
        <w:spacing w:before="120" w:after="240" w:line="276" w:lineRule="auto"/>
        <w:ind w:right="-285"/>
      </w:pPr>
      <w:r>
        <w:t>Alcanzado el valor de STP, se desconectará el bombeo, no admitiéndose la entrada de agua, al menos, en una hora. Posteriormente, mediante manómetro, se medirá el descenso de presión durante dicho intervalo, debiendo ser inferior a 0,02 MPa.</w:t>
      </w:r>
    </w:p>
    <w:p w:rsidR="00C7085E" w:rsidRDefault="00C7085E" w:rsidP="00B71B1A">
      <w:pPr>
        <w:spacing w:before="120" w:after="240" w:line="276" w:lineRule="auto"/>
        <w:ind w:right="-285"/>
      </w:pPr>
      <w:r>
        <w:t>A continuación, se elevará la presión en la conducción hasta alcanzar de nuevo el valor de STP suministrando para ello cantidades de agua y midiendo el volumen final suministrado, debiendo ser éste inferior al valor dado por la expresión siguiente:</w:t>
      </w:r>
    </w:p>
    <w:p w:rsidR="00C7085E" w:rsidRDefault="00C7085E" w:rsidP="00B71B1A">
      <w:pPr>
        <w:spacing w:before="120" w:after="240" w:line="276" w:lineRule="auto"/>
        <w:ind w:right="-285"/>
        <w:jc w:val="center"/>
        <w:rPr>
          <w:rFonts w:cs="Arial"/>
        </w:rPr>
      </w:pPr>
      <w:r>
        <w:rPr>
          <w:rFonts w:ascii="Symbol" w:hAnsi="Symbol"/>
        </w:rPr>
        <w:t></w:t>
      </w:r>
      <w:r>
        <w:t>V</w:t>
      </w:r>
      <w:r>
        <w:rPr>
          <w:rFonts w:ascii="Symbol" w:hAnsi="Symbol"/>
        </w:rPr>
        <w:t></w:t>
      </w:r>
      <w:r>
        <w:rPr>
          <w:rFonts w:ascii="Times New Roman" w:hAnsi="Times New Roman"/>
        </w:rPr>
        <w:t>≤</w:t>
      </w:r>
      <w:r>
        <w:rPr>
          <w:rFonts w:ascii="Symbol" w:hAnsi="Symbol"/>
        </w:rPr>
        <w:t></w:t>
      </w:r>
      <w:r>
        <w:rPr>
          <w:rFonts w:ascii="Symbol" w:hAnsi="Symbol"/>
        </w:rPr>
        <w:t></w:t>
      </w:r>
      <w:r>
        <w:t>V</w:t>
      </w:r>
      <w:r>
        <w:rPr>
          <w:vertAlign w:val="subscript"/>
        </w:rPr>
        <w:t>max</w:t>
      </w:r>
      <w:r>
        <w:t xml:space="preserve"> = 1,2 </w:t>
      </w:r>
      <w:r>
        <w:rPr>
          <w:rFonts w:ascii="Symbol" w:hAnsi="Symbol"/>
        </w:rPr>
        <w:t></w:t>
      </w:r>
      <w:r>
        <w:t>P</w:t>
      </w:r>
      <m:oMath>
        <m:r>
          <w:rPr>
            <w:rFonts w:ascii="Cambria Math" w:hAnsi="Cambria Math"/>
          </w:rPr>
          <m:t xml:space="preserve">  </m:t>
        </m:r>
        <m:d>
          <m:dPr>
            <m:begChr m:val="["/>
            <m:endChr m:val="]"/>
            <m:ctrlPr>
              <w:rPr>
                <w:rFonts w:ascii="Cambria Math" w:hAnsi="Cambria Math"/>
                <w:i/>
                <w:lang w:val="es-ES_tradnl" w:eastAsia="es-ES_tradnl"/>
              </w:rPr>
            </m:ctrlPr>
          </m:dPr>
          <m:e>
            <m:d>
              <m:dPr>
                <m:ctrlPr>
                  <w:rPr>
                    <w:rFonts w:ascii="Cambria Math" w:hAnsi="Cambria Math"/>
                    <w:i/>
                    <w:lang w:val="es-ES_tradnl" w:eastAsia="es-ES_tradnl"/>
                  </w:rPr>
                </m:ctrlPr>
              </m:dPr>
              <m:e>
                <m:f>
                  <m:fPr>
                    <m:ctrlPr>
                      <w:rPr>
                        <w:rFonts w:ascii="Cambria Math" w:hAnsi="Cambria Math"/>
                        <w:i/>
                        <w:lang w:val="es-ES_tradnl" w:eastAsia="es-ES_tradnl"/>
                      </w:rPr>
                    </m:ctrlPr>
                  </m:fPr>
                  <m:num>
                    <m:r>
                      <w:rPr>
                        <w:rFonts w:ascii="Cambria Math" w:hAnsi="Cambria Math"/>
                      </w:rPr>
                      <m:t>1</m:t>
                    </m:r>
                  </m:num>
                  <m:den>
                    <m:r>
                      <w:rPr>
                        <w:rFonts w:ascii="Cambria Math" w:hAnsi="Cambria Math"/>
                      </w:rPr>
                      <m:t>Ew</m:t>
                    </m:r>
                  </m:den>
                </m:f>
              </m:e>
            </m:d>
            <m:r>
              <w:rPr>
                <w:rFonts w:ascii="Cambria Math" w:hAnsi="Cambria Math"/>
              </w:rPr>
              <m:t>+</m:t>
            </m:r>
            <m:f>
              <m:fPr>
                <m:ctrlPr>
                  <w:rPr>
                    <w:rFonts w:ascii="Cambria Math" w:hAnsi="Cambria Math"/>
                    <w:i/>
                    <w:lang w:val="es-ES_tradnl" w:eastAsia="es-ES_tradnl"/>
                  </w:rPr>
                </m:ctrlPr>
              </m:fPr>
              <m:num>
                <m:r>
                  <w:rPr>
                    <w:rFonts w:ascii="Cambria Math" w:hAnsi="Cambria Math"/>
                  </w:rPr>
                  <m:t>ID</m:t>
                </m:r>
              </m:num>
              <m:den>
                <m:r>
                  <w:rPr>
                    <w:rFonts w:ascii="Cambria Math" w:hAnsi="Cambria Math"/>
                  </w:rPr>
                  <m:t>e  D</m:t>
                </m:r>
              </m:den>
            </m:f>
          </m:e>
        </m:d>
      </m:oMath>
      <w:r>
        <w:t xml:space="preserve"> V </w:t>
      </w:r>
    </w:p>
    <w:p w:rsidR="00C7085E" w:rsidRDefault="00C7085E" w:rsidP="00B71B1A">
      <w:pPr>
        <w:spacing w:before="120" w:after="240" w:line="276" w:lineRule="auto"/>
        <w:ind w:right="-285"/>
        <w:jc w:val="left"/>
        <w:rPr>
          <w:rFonts w:cs="Arial"/>
          <w:szCs w:val="22"/>
        </w:rPr>
      </w:pPr>
      <w:r>
        <w:rPr>
          <w:rFonts w:cs="Arial"/>
          <w:szCs w:val="22"/>
        </w:rPr>
        <w:t>Siendo:</w:t>
      </w:r>
    </w:p>
    <w:p w:rsidR="00C7085E" w:rsidRDefault="00C7085E" w:rsidP="00B71B1A">
      <w:pPr>
        <w:spacing w:before="120" w:after="240" w:line="276" w:lineRule="auto"/>
        <w:ind w:right="-285"/>
        <w:jc w:val="left"/>
        <w:rPr>
          <w:rFonts w:cs="Arial"/>
          <w:szCs w:val="22"/>
        </w:rPr>
      </w:pPr>
      <w:r>
        <w:rPr>
          <w:rFonts w:ascii="Symbol" w:hAnsi="Symbol" w:cs="Arial"/>
          <w:szCs w:val="22"/>
        </w:rPr>
        <w:t></w:t>
      </w:r>
      <w:r>
        <w:rPr>
          <w:rFonts w:cs="Arial"/>
          <w:szCs w:val="22"/>
        </w:rPr>
        <w:t xml:space="preserve">V: </w:t>
      </w:r>
      <w:r>
        <w:rPr>
          <w:rFonts w:cs="Arial"/>
          <w:szCs w:val="22"/>
        </w:rPr>
        <w:tab/>
        <w:t>Volumen final suministrado (l)</w:t>
      </w:r>
    </w:p>
    <w:p w:rsidR="00C7085E" w:rsidRDefault="00C7085E" w:rsidP="00B71B1A">
      <w:pPr>
        <w:spacing w:before="120" w:after="240" w:line="276" w:lineRule="auto"/>
        <w:ind w:right="-285"/>
        <w:jc w:val="left"/>
        <w:rPr>
          <w:rFonts w:cs="Arial"/>
          <w:szCs w:val="22"/>
        </w:rPr>
      </w:pPr>
      <w:r>
        <w:rPr>
          <w:rFonts w:ascii="Symbol" w:hAnsi="Symbol" w:cs="Arial"/>
          <w:szCs w:val="22"/>
        </w:rPr>
        <w:lastRenderedPageBreak/>
        <w:t></w:t>
      </w:r>
      <w:r>
        <w:rPr>
          <w:rFonts w:cs="Arial"/>
          <w:szCs w:val="22"/>
        </w:rPr>
        <w:t>V</w:t>
      </w:r>
      <w:r>
        <w:rPr>
          <w:rFonts w:cs="Arial"/>
          <w:szCs w:val="22"/>
          <w:vertAlign w:val="subscript"/>
        </w:rPr>
        <w:t>max</w:t>
      </w:r>
      <w:r>
        <w:rPr>
          <w:rFonts w:cs="Arial"/>
          <w:szCs w:val="22"/>
        </w:rPr>
        <w:t>:</w:t>
      </w:r>
      <w:r>
        <w:rPr>
          <w:rFonts w:cs="Arial"/>
          <w:szCs w:val="22"/>
        </w:rPr>
        <w:tab/>
        <w:t>Pérdida de agua admisible (l).</w:t>
      </w:r>
    </w:p>
    <w:p w:rsidR="00C7085E" w:rsidRDefault="00C7085E" w:rsidP="00B71B1A">
      <w:pPr>
        <w:spacing w:before="120" w:after="240" w:line="276" w:lineRule="auto"/>
        <w:ind w:right="-285"/>
        <w:jc w:val="left"/>
        <w:rPr>
          <w:rFonts w:cs="Arial"/>
          <w:szCs w:val="22"/>
        </w:rPr>
      </w:pPr>
      <w:r>
        <w:rPr>
          <w:rFonts w:cs="Arial"/>
          <w:szCs w:val="22"/>
        </w:rPr>
        <w:t>V:</w:t>
      </w:r>
      <w:r>
        <w:rPr>
          <w:rFonts w:cs="Arial"/>
          <w:szCs w:val="22"/>
        </w:rPr>
        <w:tab/>
        <w:t>Volumen del tramo de conducción en prueba (l).</w:t>
      </w:r>
    </w:p>
    <w:p w:rsidR="00C7085E" w:rsidRDefault="00C7085E" w:rsidP="00B71B1A">
      <w:pPr>
        <w:spacing w:before="120" w:after="240" w:line="276" w:lineRule="auto"/>
        <w:ind w:right="-285"/>
        <w:jc w:val="left"/>
        <w:rPr>
          <w:rFonts w:cs="Arial"/>
          <w:szCs w:val="22"/>
        </w:rPr>
      </w:pPr>
      <w:r>
        <w:rPr>
          <w:rFonts w:ascii="Symbol" w:hAnsi="Symbol" w:cs="Arial"/>
          <w:szCs w:val="22"/>
        </w:rPr>
        <w:t></w:t>
      </w:r>
      <w:r>
        <w:rPr>
          <w:rFonts w:cs="Arial"/>
          <w:szCs w:val="22"/>
        </w:rPr>
        <w:t>P:</w:t>
      </w:r>
      <w:r>
        <w:rPr>
          <w:rFonts w:cs="Arial"/>
          <w:szCs w:val="22"/>
        </w:rPr>
        <w:tab/>
        <w:t>Caída de presión medida durante la prueba (0,02 MPa)</w:t>
      </w:r>
    </w:p>
    <w:p w:rsidR="00C7085E" w:rsidRDefault="00C7085E" w:rsidP="00B71B1A">
      <w:pPr>
        <w:spacing w:before="120" w:after="240" w:line="276" w:lineRule="auto"/>
        <w:ind w:right="-285"/>
        <w:jc w:val="left"/>
        <w:rPr>
          <w:rFonts w:cs="Arial"/>
          <w:szCs w:val="22"/>
        </w:rPr>
      </w:pPr>
      <w:r>
        <w:rPr>
          <w:rFonts w:cs="Arial"/>
          <w:szCs w:val="22"/>
        </w:rPr>
        <w:t>E:</w:t>
      </w:r>
      <w:r>
        <w:rPr>
          <w:rFonts w:cs="Arial"/>
          <w:szCs w:val="22"/>
        </w:rPr>
        <w:tab/>
        <w:t>Módulo de elasticidad del material de la conducción (MPa)</w:t>
      </w:r>
    </w:p>
    <w:p w:rsidR="00C7085E" w:rsidRDefault="00C7085E" w:rsidP="00B71B1A">
      <w:pPr>
        <w:spacing w:before="120" w:after="240" w:line="276" w:lineRule="auto"/>
        <w:ind w:right="-285"/>
        <w:jc w:val="left"/>
        <w:rPr>
          <w:rFonts w:cs="Arial"/>
          <w:szCs w:val="22"/>
        </w:rPr>
      </w:pPr>
      <w:r>
        <w:rPr>
          <w:rFonts w:cs="Arial"/>
          <w:szCs w:val="22"/>
        </w:rPr>
        <w:t>E</w:t>
      </w:r>
      <w:r>
        <w:rPr>
          <w:rFonts w:cs="Arial"/>
          <w:szCs w:val="22"/>
          <w:vertAlign w:val="subscript"/>
        </w:rPr>
        <w:t>W</w:t>
      </w:r>
      <w:r>
        <w:rPr>
          <w:rFonts w:cs="Arial"/>
          <w:szCs w:val="22"/>
        </w:rPr>
        <w:t>:</w:t>
      </w:r>
      <w:r>
        <w:rPr>
          <w:rFonts w:cs="Arial"/>
          <w:szCs w:val="22"/>
        </w:rPr>
        <w:tab/>
        <w:t>Módulo de compresibilidad del agua (2,1x10</w:t>
      </w:r>
      <w:r>
        <w:rPr>
          <w:rFonts w:cs="Arial"/>
          <w:szCs w:val="22"/>
          <w:vertAlign w:val="superscript"/>
        </w:rPr>
        <w:t>3</w:t>
      </w:r>
      <w:r>
        <w:rPr>
          <w:rFonts w:cs="Arial"/>
          <w:szCs w:val="22"/>
        </w:rPr>
        <w:t xml:space="preserve"> MPa)</w:t>
      </w:r>
    </w:p>
    <w:p w:rsidR="00C7085E" w:rsidRDefault="00C7085E" w:rsidP="00B71B1A">
      <w:pPr>
        <w:spacing w:before="120" w:after="240" w:line="276" w:lineRule="auto"/>
        <w:ind w:right="-285"/>
        <w:jc w:val="left"/>
        <w:rPr>
          <w:rFonts w:cs="Arial"/>
          <w:szCs w:val="22"/>
        </w:rPr>
      </w:pPr>
      <w:r>
        <w:rPr>
          <w:rFonts w:cs="Arial"/>
          <w:szCs w:val="22"/>
        </w:rPr>
        <w:t>ID:</w:t>
      </w:r>
      <w:r>
        <w:rPr>
          <w:rFonts w:cs="Arial"/>
          <w:szCs w:val="22"/>
        </w:rPr>
        <w:tab/>
        <w:t>Diámetro interior de la conducción (mm)</w:t>
      </w:r>
    </w:p>
    <w:p w:rsidR="00C7085E" w:rsidRDefault="00C7085E" w:rsidP="00B71B1A">
      <w:pPr>
        <w:spacing w:before="120" w:after="240" w:line="276" w:lineRule="auto"/>
        <w:ind w:right="-285"/>
        <w:jc w:val="left"/>
        <w:rPr>
          <w:rFonts w:cs="Arial"/>
          <w:szCs w:val="22"/>
        </w:rPr>
      </w:pPr>
      <w:r>
        <w:rPr>
          <w:rFonts w:cs="Arial"/>
          <w:szCs w:val="22"/>
        </w:rPr>
        <w:t>E:</w:t>
      </w:r>
      <w:r>
        <w:rPr>
          <w:rFonts w:cs="Arial"/>
          <w:szCs w:val="22"/>
        </w:rPr>
        <w:tab/>
        <w:t>Espesor nominal de la conducción (mm)</w:t>
      </w:r>
    </w:p>
    <w:p w:rsidR="00C7085E" w:rsidRDefault="00C7085E" w:rsidP="00B71B1A">
      <w:pPr>
        <w:spacing w:before="120" w:after="240" w:line="276" w:lineRule="auto"/>
        <w:ind w:right="-285"/>
        <w:jc w:val="left"/>
        <w:rPr>
          <w:rFonts w:cs="Arial"/>
          <w:szCs w:val="22"/>
        </w:rPr>
      </w:pPr>
      <w:r>
        <w:rPr>
          <w:rFonts w:cs="Arial"/>
          <w:szCs w:val="22"/>
        </w:rPr>
        <w:t>1,2:</w:t>
      </w:r>
      <w:r>
        <w:rPr>
          <w:rFonts w:cs="Arial"/>
          <w:szCs w:val="22"/>
        </w:rPr>
        <w:tab/>
        <w:t>Factor de corrección que, entre otros aspectos, tiene en cuenta el efecto del aire residual existente en la conducción</w:t>
      </w:r>
    </w:p>
    <w:p w:rsidR="00C7085E" w:rsidRDefault="00C7085E" w:rsidP="00B71B1A">
      <w:pPr>
        <w:spacing w:before="120" w:after="240" w:line="276" w:lineRule="auto"/>
        <w:ind w:right="-285"/>
      </w:pPr>
      <w:r>
        <w:t>Cuando, durante la realización de esta prueba principal o de puesta en carga, el descenso de presión o las pérdidas de agua sean superiores a los valores admisibles, el Adjudicatario estará obligado a corregir los defectos observados, repasando las juntas que pierdan agua, cambiando si es preciso algún tubo, de forma que al final se consiga que el resultado de la prueba sea satisfactoria, repitiéndose ésta las veces que sea necesario para conseguirlo.</w:t>
      </w:r>
    </w:p>
    <w:p w:rsidR="00C7085E" w:rsidRDefault="00C7085E" w:rsidP="00B71B1A">
      <w:pPr>
        <w:spacing w:before="120" w:after="240" w:line="276" w:lineRule="auto"/>
        <w:ind w:right="-285"/>
        <w:jc w:val="left"/>
        <w:rPr>
          <w:rFonts w:cs="Arial"/>
          <w:szCs w:val="22"/>
        </w:rPr>
      </w:pPr>
      <w:r>
        <w:rPr>
          <w:rFonts w:cs="Arial"/>
          <w:szCs w:val="22"/>
        </w:rPr>
        <w:t>Todos los gastos ocasionados por las pruebas y ensayos de las tuberías instaladas en redes de abastecimiento o agua regenerada serán de cuenta del Contratista, estando incluidos en los precios de los distintos tipos de tubos.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szCs w:val="20"/>
        </w:rPr>
      </w:pPr>
      <w:bookmarkStart w:id="203" w:name="_Toc414021810"/>
      <w:bookmarkStart w:id="204" w:name="_Toc448741432"/>
      <w:r>
        <w:t>Accesorios y piezas especiales en acero</w:t>
      </w:r>
      <w:bookmarkEnd w:id="203"/>
      <w:bookmarkEnd w:id="204"/>
      <w:r>
        <w:t xml:space="preserve"> </w:t>
      </w:r>
    </w:p>
    <w:p w:rsidR="00C7085E" w:rsidRDefault="00C7085E" w:rsidP="00B71B1A">
      <w:pPr>
        <w:spacing w:before="120" w:after="240" w:line="276" w:lineRule="auto"/>
        <w:ind w:right="-285"/>
      </w:pPr>
      <w:r>
        <w:t>Los accesorios y piezas especiales de acero deberán cumplir lo especificado para los mismos en la UNE-EN 10224</w:t>
      </w:r>
      <w:r>
        <w:rPr>
          <w:i/>
        </w:rPr>
        <w:t>: “Tubos y accesorios en acero no aleado para el transporte de líquidos acuosos, incluido agua para consumo humano. Condiciones técnicas de suministro”.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rPr>
          <w:rFonts w:cs="Arial"/>
          <w:bCs/>
          <w:i/>
          <w:color w:val="000000"/>
          <w:szCs w:val="22"/>
        </w:rPr>
      </w:pPr>
      <w:r>
        <w:t>Los materiales empleados en la fabricación los accesorios y piezas especiales de acero serán con carácter general de calidad mínima S 275 JR y deberán cumplir lo especificado en la norma UNE-EN 10025</w:t>
      </w:r>
      <w:r>
        <w:rPr>
          <w:rFonts w:cs="Arial"/>
          <w:bCs/>
          <w:i/>
          <w:color w:val="000000"/>
          <w:szCs w:val="22"/>
        </w:rPr>
        <w:t>.</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cs="Arial Negrita"/>
          <w:bCs w:val="0"/>
          <w:szCs w:val="20"/>
        </w:rPr>
      </w:pPr>
      <w:r>
        <w:t>Medición y abono</w:t>
      </w:r>
    </w:p>
    <w:p w:rsidR="00C7085E" w:rsidRDefault="00C7085E" w:rsidP="00B71B1A">
      <w:pPr>
        <w:spacing w:before="120" w:after="240" w:line="276" w:lineRule="auto"/>
        <w:ind w:right="-285"/>
      </w:pPr>
      <w:r>
        <w:t xml:space="preserve">Los carretes pasamuros de acero de calidad mínima S 275 JR se medirán por metros (m) realmente colocados en obra y se abonarán al precio que corresponda, en función del diámetro exterior y del espesor, de los que figuren en el Cuadro de Precios vigente de Canal de Isabel II Gestión. </w:t>
      </w:r>
    </w:p>
    <w:p w:rsidR="00C7085E" w:rsidRDefault="00C7085E" w:rsidP="00B71B1A">
      <w:pPr>
        <w:spacing w:before="120" w:after="240" w:line="276" w:lineRule="auto"/>
        <w:ind w:right="-285"/>
      </w:pPr>
      <w:r>
        <w:t xml:space="preserve">En dichos precios se considera incluido el revestimiento interior de cuatrocientas micras (400 </w:t>
      </w:r>
      <w:r>
        <w:rPr>
          <w:rFonts w:cs="Arial"/>
        </w:rPr>
        <w:t>µ</w:t>
      </w:r>
      <w:r>
        <w:t xml:space="preserve">m) de pintura epoxi alimentaria, el revestimiento exterior de tres milímetros (3 mm) de </w:t>
      </w:r>
      <w:r>
        <w:lastRenderedPageBreak/>
        <w:t>polietileno, la preparación previa de ambas superficies a grado SA 2 ½, la parte proporcional de junta soldada, la colocación, así como los medios auxiliares y pruebas.</w:t>
      </w:r>
    </w:p>
    <w:p w:rsidR="00C7085E" w:rsidRDefault="00C7085E" w:rsidP="00B71B1A">
      <w:pPr>
        <w:spacing w:before="120" w:after="240" w:line="276" w:lineRule="auto"/>
        <w:ind w:right="-285"/>
      </w:pPr>
      <w:r>
        <w:t xml:space="preserve">Los accesorios y piezas especiales de acero se medirán por kilogramos (kg) realmente colocados y se abonarán al precio correspondiente, en función del tipo de acero empleado, de los que figuren en el Cuadro de Precios vigente de Canal de Isabel II Gestión. </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205" w:name="_Toc414021811"/>
      <w:bookmarkStart w:id="206" w:name="_Toc448741433"/>
      <w:r>
        <w:t>Accesorios y piezas especiales en fundición dúctil</w:t>
      </w:r>
      <w:bookmarkEnd w:id="205"/>
      <w:bookmarkEnd w:id="206"/>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 xml:space="preserve">Serán de aplicación lo especificado para los mismos en la norma UNE EN-545: </w:t>
      </w:r>
      <w:r>
        <w:rPr>
          <w:i/>
        </w:rPr>
        <w:t>“Tubos, racores y accesorios de fundición dúctil y sus uniones para canalizaciones de agua. Requisitos y métodos de ensayo”</w:t>
      </w:r>
      <w:r>
        <w:t xml:space="preserve"> o en la UNE EN-598: </w:t>
      </w:r>
      <w:r>
        <w:rPr>
          <w:i/>
        </w:rPr>
        <w:t>“Tuberías, accesorios y piezas especiales de fundición dúctil y sus uniones para aplicaciones de saneamiento. Requisitos y métodos de ensayo”</w:t>
      </w:r>
      <w:r>
        <w:t>, dependiendo de si se trata de accesorios para redes de abastecimiento y redes de reutilización o para redes de saneamiento.</w:t>
      </w:r>
    </w:p>
    <w:p w:rsidR="00C7085E" w:rsidRDefault="00C7085E" w:rsidP="00B71B1A">
      <w:pPr>
        <w:spacing w:before="120" w:after="240" w:line="276" w:lineRule="auto"/>
        <w:ind w:right="-285"/>
        <w:rPr>
          <w:i/>
        </w:rPr>
      </w:pPr>
      <w:r>
        <w:t>Los accesorios a intercalar entre los tubos de PVC-O, al no fabricarse en dicho material, serán de fundición dúctil conformes a la norma UNE-EN 12842: “</w:t>
      </w:r>
      <w:r>
        <w:rPr>
          <w:i/>
        </w:rPr>
        <w:t>Racores de fundición dúctil para sistemas de tuberías de PVC-U o PE. Requisitos y métodos de ensayo”.</w:t>
      </w:r>
    </w:p>
    <w:p w:rsidR="00C7085E" w:rsidRDefault="00C7085E" w:rsidP="00B71B1A">
      <w:pPr>
        <w:spacing w:before="120" w:after="240" w:line="276" w:lineRule="auto"/>
        <w:ind w:right="-285"/>
      </w:pPr>
      <w:r>
        <w:t>Atendiendo a su tipología podrán clasificarse de la siguiente forma:</w:t>
      </w:r>
    </w:p>
    <w:p w:rsidR="00C7085E" w:rsidRDefault="00C7085E" w:rsidP="00B71B1A">
      <w:pPr>
        <w:widowControl/>
        <w:numPr>
          <w:ilvl w:val="0"/>
          <w:numId w:val="12"/>
        </w:numPr>
        <w:spacing w:before="120" w:after="240" w:line="276" w:lineRule="auto"/>
        <w:ind w:left="714" w:right="-285" w:hanging="357"/>
      </w:pPr>
      <w:r>
        <w:t>Codos</w:t>
      </w:r>
    </w:p>
    <w:p w:rsidR="00C7085E" w:rsidRDefault="00C7085E" w:rsidP="00B71B1A">
      <w:pPr>
        <w:widowControl/>
        <w:numPr>
          <w:ilvl w:val="0"/>
          <w:numId w:val="12"/>
        </w:numPr>
        <w:spacing w:before="120" w:after="240" w:line="276" w:lineRule="auto"/>
        <w:ind w:left="714" w:right="-285" w:hanging="357"/>
      </w:pPr>
      <w:r>
        <w:t>Tés</w:t>
      </w:r>
    </w:p>
    <w:p w:rsidR="00C7085E" w:rsidRDefault="00C7085E" w:rsidP="00B71B1A">
      <w:pPr>
        <w:widowControl/>
        <w:numPr>
          <w:ilvl w:val="0"/>
          <w:numId w:val="12"/>
        </w:numPr>
        <w:spacing w:before="120" w:after="240" w:line="276" w:lineRule="auto"/>
        <w:ind w:left="714" w:right="-285" w:hanging="357"/>
      </w:pPr>
      <w:r>
        <w:t>Conos</w:t>
      </w:r>
    </w:p>
    <w:p w:rsidR="00C7085E" w:rsidRDefault="00C7085E" w:rsidP="00B71B1A">
      <w:pPr>
        <w:widowControl/>
        <w:numPr>
          <w:ilvl w:val="0"/>
          <w:numId w:val="12"/>
        </w:numPr>
        <w:spacing w:before="120" w:after="240" w:line="276" w:lineRule="auto"/>
        <w:ind w:left="714" w:right="-285" w:hanging="357"/>
      </w:pPr>
      <w:r>
        <w:t>Placas reductoras</w:t>
      </w:r>
    </w:p>
    <w:p w:rsidR="00C7085E" w:rsidRDefault="00C7085E" w:rsidP="00B71B1A">
      <w:pPr>
        <w:widowControl/>
        <w:numPr>
          <w:ilvl w:val="0"/>
          <w:numId w:val="12"/>
        </w:numPr>
        <w:spacing w:before="120" w:after="240" w:line="276" w:lineRule="auto"/>
        <w:ind w:left="714" w:right="-285" w:hanging="357"/>
      </w:pPr>
      <w:r>
        <w:t>Bridas ciegas</w:t>
      </w:r>
    </w:p>
    <w:p w:rsidR="00C7085E" w:rsidRDefault="00C7085E" w:rsidP="00B71B1A">
      <w:pPr>
        <w:widowControl/>
        <w:numPr>
          <w:ilvl w:val="0"/>
          <w:numId w:val="12"/>
        </w:numPr>
        <w:spacing w:before="120" w:after="240" w:line="276" w:lineRule="auto"/>
        <w:ind w:left="714" w:right="-285" w:hanging="357"/>
      </w:pPr>
      <w:r>
        <w:t>Conectores (brida-enchufe, brida-liso, manguitos)</w:t>
      </w:r>
    </w:p>
    <w:p w:rsidR="00C7085E" w:rsidRDefault="00C7085E" w:rsidP="00B71B1A">
      <w:pPr>
        <w:widowControl/>
        <w:numPr>
          <w:ilvl w:val="0"/>
          <w:numId w:val="12"/>
        </w:numPr>
        <w:spacing w:before="120" w:after="240" w:line="276" w:lineRule="auto"/>
        <w:ind w:left="714" w:right="-285" w:hanging="357"/>
      </w:pPr>
      <w:r>
        <w:t>Carretes</w:t>
      </w:r>
    </w:p>
    <w:p w:rsidR="00C7085E" w:rsidRDefault="00C7085E" w:rsidP="00B71B1A">
      <w:pPr>
        <w:widowControl/>
        <w:numPr>
          <w:ilvl w:val="0"/>
          <w:numId w:val="12"/>
        </w:numPr>
        <w:spacing w:before="120" w:after="240" w:line="276" w:lineRule="auto"/>
        <w:ind w:left="714" w:right="-285" w:hanging="357"/>
      </w:pPr>
      <w:r>
        <w:t xml:space="preserve">Collarines </w:t>
      </w:r>
    </w:p>
    <w:p w:rsidR="00C7085E" w:rsidRDefault="00C7085E" w:rsidP="00B71B1A">
      <w:pPr>
        <w:spacing w:before="120" w:after="240" w:line="276" w:lineRule="auto"/>
        <w:ind w:right="-285"/>
      </w:pPr>
      <w:r>
        <w:t>Los accesorios de fundición dúctil deberán ir provistos con un recubrimiento exterior e interior a base de resinas epoxi.</w:t>
      </w:r>
    </w:p>
    <w:p w:rsidR="00C7085E" w:rsidRDefault="00C7085E" w:rsidP="00B71B1A">
      <w:pPr>
        <w:spacing w:before="120" w:after="240" w:line="276" w:lineRule="auto"/>
        <w:ind w:right="-285"/>
      </w:pPr>
      <w:r>
        <w:t>Excepcionalmente y si así lo autoriza la Dirección de Obra, podrá disponerse algún otro recubrimiento de los especificados en las normas UNE-EN 545 o en la UNE EN-598, según el tipo de red considerado.</w:t>
      </w:r>
    </w:p>
    <w:p w:rsidR="00C7085E" w:rsidRDefault="00C7085E" w:rsidP="00B71B1A">
      <w:pPr>
        <w:spacing w:before="120" w:after="240" w:line="276" w:lineRule="auto"/>
        <w:ind w:right="-285"/>
      </w:pPr>
      <w:r>
        <w:t>Las dimensiones de las piezas están normalizadas en las normas citadas, en función de tipo de tubo de que se trate.</w:t>
      </w:r>
    </w:p>
    <w:p w:rsidR="00C7085E" w:rsidRDefault="00C7085E" w:rsidP="00B71B1A">
      <w:pPr>
        <w:spacing w:before="120" w:after="240" w:line="276" w:lineRule="auto"/>
        <w:ind w:right="-285"/>
      </w:pPr>
      <w:r>
        <w:lastRenderedPageBreak/>
        <w:t>Con respecto a la presión, no se admitirán accesorios de fundición dúctil inferiores a PN 16.</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accesorios de fundición dúctil se medirán por unidades (ud) realmente colocadas y se abonarán al precio correspondiente, de los que figuren en el Cuadro de Precios vigente de Canal de Isabel II Gestión.</w:t>
      </w:r>
    </w:p>
    <w:p w:rsidR="00C7085E" w:rsidRDefault="00C7085E" w:rsidP="00B71B1A">
      <w:pPr>
        <w:spacing w:before="120" w:after="240" w:line="276" w:lineRule="auto"/>
        <w:ind w:right="-285"/>
      </w:pPr>
      <w:r>
        <w:t>En los precios se consideran incluidos el revestimiento interior y exterior de resina epoxi, el color requerido, la colocación, las juntas, los materiales, los medios auxiliares y las pruebas necesarias para su correcto funcionamiento.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207" w:name="_Toc414021812"/>
      <w:bookmarkStart w:id="208" w:name="_Toc448741434"/>
      <w:r>
        <w:t>Accesorios y piezas especiales de otros materiales</w:t>
      </w:r>
      <w:bookmarkEnd w:id="207"/>
      <w:bookmarkEnd w:id="208"/>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rPr>
          <w:i/>
        </w:rPr>
      </w:pPr>
      <w:r>
        <w:t>Los accesorios y piezas especiales en polietileno (PE) deberán cumplir con lo especificado para los mismos en la UNE-EN 12201: “</w:t>
      </w:r>
      <w:r>
        <w:rPr>
          <w:i/>
        </w:rPr>
        <w:t>Sistemas de canalización en materiales plásticos para conducción de agua y saneamiento con presión. Polietileno (PE)”.</w:t>
      </w:r>
    </w:p>
    <w:p w:rsidR="00C7085E" w:rsidRDefault="00C7085E" w:rsidP="00B71B1A">
      <w:pPr>
        <w:spacing w:before="120" w:after="240" w:line="276" w:lineRule="auto"/>
        <w:ind w:right="-285"/>
        <w:rPr>
          <w:i/>
        </w:rPr>
      </w:pPr>
      <w:r>
        <w:t>En el caso de los accesorios y piezas especiales en poliéster reforzado con fibra de vidrio (PRFV) deberán cumplir con lo especificado en la UNE-EN 1796: “</w:t>
      </w:r>
      <w:r>
        <w:rPr>
          <w:i/>
        </w:rPr>
        <w:t xml:space="preserve">Sistemas de canalización en materiales plásticos para suministro de agua con o sin presión. Plásticos termoestables reforzados con fibra de vidrio (PRFV) basados en resina de poliéster insaturada (UP)” </w:t>
      </w:r>
      <w:r>
        <w:t>para redes de abastecimiento y con lo especificado en la</w:t>
      </w:r>
      <w:r>
        <w:rPr>
          <w:i/>
        </w:rPr>
        <w:t xml:space="preserve"> </w:t>
      </w:r>
      <w:r>
        <w:t>UNE-EN 14364</w:t>
      </w:r>
      <w:r>
        <w:rPr>
          <w:i/>
        </w:rPr>
        <w:t xml:space="preserve">: “Sistemas de canalización en materiales plásticos para evacuación y saneamiento con o sin presión. Plásticos termoendurecibles reforzados con vidrio (PRFV) a base de resina de poliéster insaturado (UP). Especificaciones para tuberías, accesorios y uniones” </w:t>
      </w:r>
      <w:r>
        <w:t>para redes de saneamiento</w:t>
      </w:r>
      <w:r>
        <w:rPr>
          <w:i/>
        </w:rPr>
        <w:t>.</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accesorios y piezas especiales de otras materiales se medirán por unidades (ud) realmente colocadas y se abonarán al precio que corresponda del Cuadro de Precios vigente de Canal de Isabel II Gestión.</w:t>
      </w: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C7085E" w:rsidRPr="00894B2B" w:rsidRDefault="00E77B39" w:rsidP="00B71B1A">
      <w:pPr>
        <w:pStyle w:val="Ttulo2"/>
        <w:numPr>
          <w:ilvl w:val="1"/>
          <w:numId w:val="5"/>
        </w:numPr>
        <w:snapToGrid/>
        <w:spacing w:before="400" w:after="400" w:line="276" w:lineRule="auto"/>
        <w:ind w:left="0" w:right="-285"/>
        <w:rPr>
          <w:caps w:val="0"/>
        </w:rPr>
      </w:pPr>
      <w:bookmarkStart w:id="209" w:name="_Toc414021813"/>
      <w:bookmarkStart w:id="210" w:name="_Toc448741435"/>
      <w:r w:rsidRPr="00E77B39">
        <w:rPr>
          <w:caps w:val="0"/>
        </w:rPr>
        <w:lastRenderedPageBreak/>
        <w:t>EDIFICACIÓN</w:t>
      </w:r>
      <w:bookmarkEnd w:id="209"/>
      <w:bookmarkEnd w:id="210"/>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211" w:name="_Toc414021815"/>
      <w:bookmarkStart w:id="212" w:name="_Toc402164001"/>
      <w:bookmarkStart w:id="213" w:name="_Toc448741436"/>
      <w:r>
        <w:t>Albañilería</w:t>
      </w:r>
      <w:bookmarkEnd w:id="211"/>
      <w:bookmarkEnd w:id="212"/>
      <w:bookmarkEnd w:id="213"/>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keepNext/>
        <w:keepLines/>
        <w:widowControl/>
        <w:numPr>
          <w:ilvl w:val="0"/>
          <w:numId w:val="12"/>
        </w:numPr>
        <w:spacing w:before="120" w:after="240" w:line="276" w:lineRule="auto"/>
        <w:ind w:left="714" w:right="-285" w:hanging="357"/>
        <w:rPr>
          <w:b/>
        </w:rPr>
      </w:pPr>
      <w:r>
        <w:rPr>
          <w:b/>
        </w:rPr>
        <w:t>Forjados unidireccionales</w:t>
      </w:r>
    </w:p>
    <w:p w:rsidR="00C7085E" w:rsidRDefault="00C7085E" w:rsidP="00B71B1A">
      <w:pPr>
        <w:keepNext/>
        <w:keepLines/>
        <w:spacing w:before="120" w:after="240" w:line="276" w:lineRule="auto"/>
        <w:ind w:right="-285"/>
      </w:pPr>
      <w:r>
        <w:t>Los forjados unidireccionales estarán formados por dobles viguetas autorresistentes de hormigón pretensado, separadas entre sí sesenta centímetros (60 cm), con entrevigado de bloque de hormigón y con capa de compresión de cinco centímetros (5 cm) de HA-25/P/20/I.</w:t>
      </w:r>
    </w:p>
    <w:p w:rsidR="00C7085E" w:rsidRDefault="00C7085E" w:rsidP="00B71B1A">
      <w:pPr>
        <w:keepNext/>
        <w:keepLines/>
        <w:spacing w:before="120" w:after="240" w:line="276" w:lineRule="auto"/>
        <w:ind w:right="-285"/>
      </w:pPr>
      <w:r>
        <w:t>Deberán cumplir las prescripciones establecidas en la Instrucción de Hormigón Estructural (EHE).</w:t>
      </w:r>
    </w:p>
    <w:p w:rsidR="00C7085E" w:rsidRDefault="00C7085E" w:rsidP="00B71B1A">
      <w:pPr>
        <w:spacing w:before="120" w:after="240" w:line="276" w:lineRule="auto"/>
        <w:ind w:right="-285"/>
      </w:pPr>
      <w:r>
        <w:t>Las viguetas que se reciban en obra llevarán marcado el nombre del sistema, la designación de su tipo, que corresponde a las características mecánicas garantizadas en su ficha de características, y la fecha de fabricación.</w:t>
      </w:r>
    </w:p>
    <w:p w:rsidR="00C7085E" w:rsidRDefault="00C7085E" w:rsidP="00B71B1A">
      <w:pPr>
        <w:keepNext/>
        <w:widowControl/>
        <w:numPr>
          <w:ilvl w:val="0"/>
          <w:numId w:val="12"/>
        </w:numPr>
        <w:spacing w:before="120" w:after="240" w:line="276" w:lineRule="auto"/>
        <w:ind w:left="714" w:right="-285" w:hanging="357"/>
        <w:rPr>
          <w:b/>
        </w:rPr>
      </w:pPr>
      <w:r>
        <w:rPr>
          <w:b/>
        </w:rPr>
        <w:t>Forjado reticular</w:t>
      </w:r>
    </w:p>
    <w:p w:rsidR="00C7085E" w:rsidRDefault="00C7085E" w:rsidP="00B71B1A">
      <w:pPr>
        <w:spacing w:before="120" w:after="240" w:line="276" w:lineRule="auto"/>
        <w:ind w:right="-285"/>
      </w:pPr>
      <w:r>
        <w:t>Los forjados serán con nervios de hormigón armado dispuestos en dos direcciones perpendiculares entre sí, y con capa de compresión de HA-25/P/20/I.</w:t>
      </w:r>
    </w:p>
    <w:p w:rsidR="00C7085E" w:rsidRDefault="00C7085E" w:rsidP="00B71B1A">
      <w:pPr>
        <w:spacing w:before="120" w:after="240" w:line="276" w:lineRule="auto"/>
        <w:ind w:right="-285"/>
      </w:pPr>
      <w:r>
        <w:t>Las piezas de entrevigado serán bloques de hormigón o cerámicas sin alabeos, roturas ni fisuraciones, los cuales deberán resistir, apoyado en sus bordes, una carga vertical de veinticinco newton por milímetro cuadrado (25 N/mm</w:t>
      </w:r>
      <w:r>
        <w:rPr>
          <w:vertAlign w:val="superscript"/>
        </w:rPr>
        <w:t>2</w:t>
      </w:r>
      <w:r>
        <w:t>).</w:t>
      </w:r>
    </w:p>
    <w:p w:rsidR="00C7085E" w:rsidRDefault="00C7085E" w:rsidP="00B71B1A">
      <w:pPr>
        <w:spacing w:before="120" w:after="240" w:line="276" w:lineRule="auto"/>
        <w:ind w:right="-285"/>
      </w:pPr>
      <w:r>
        <w:t>Deberán cumplir las prescripciones establecidas en la Instrucción de Hormigón Estructural (EHE) y en el Código Técnico de la Edificación (CTE).</w:t>
      </w:r>
    </w:p>
    <w:p w:rsidR="00C7085E" w:rsidRDefault="00C7085E" w:rsidP="00B71B1A">
      <w:pPr>
        <w:keepNext/>
        <w:widowControl/>
        <w:numPr>
          <w:ilvl w:val="0"/>
          <w:numId w:val="12"/>
        </w:numPr>
        <w:spacing w:before="120" w:after="240" w:line="276" w:lineRule="auto"/>
        <w:ind w:left="714" w:right="-285" w:hanging="357"/>
        <w:rPr>
          <w:b/>
        </w:rPr>
      </w:pPr>
      <w:r>
        <w:rPr>
          <w:b/>
        </w:rPr>
        <w:t>Forjado placas alveolares</w:t>
      </w:r>
    </w:p>
    <w:p w:rsidR="00C7085E" w:rsidRDefault="00C7085E" w:rsidP="00B71B1A">
      <w:pPr>
        <w:spacing w:before="120" w:after="240" w:line="276" w:lineRule="auto"/>
        <w:ind w:right="-285"/>
      </w:pPr>
      <w:r>
        <w:t>Los forjados de placas alveoladas prefabricadas de hormigón deberán cumplir las prescripciones establecidas en la Instrucción de Hormigón Estructural (EHE).</w:t>
      </w:r>
    </w:p>
    <w:p w:rsidR="00C7085E" w:rsidRDefault="00C7085E" w:rsidP="00B71B1A">
      <w:pPr>
        <w:spacing w:before="120" w:after="240" w:line="276" w:lineRule="auto"/>
        <w:ind w:right="-285"/>
      </w:pPr>
      <w:r>
        <w:t>Sobre las placas se dispondrá una capa de compresión de cinco centímetros (5 cm) de HA/35/P/I.</w:t>
      </w:r>
    </w:p>
    <w:p w:rsidR="00C7085E" w:rsidRDefault="00C7085E" w:rsidP="00B71B1A">
      <w:pPr>
        <w:keepNext/>
        <w:widowControl/>
        <w:numPr>
          <w:ilvl w:val="0"/>
          <w:numId w:val="12"/>
        </w:numPr>
        <w:spacing w:before="120" w:after="240" w:line="276" w:lineRule="auto"/>
        <w:ind w:left="714" w:right="-285" w:hanging="357"/>
        <w:rPr>
          <w:b/>
        </w:rPr>
      </w:pPr>
      <w:r>
        <w:rPr>
          <w:b/>
        </w:rPr>
        <w:t>Fábrica de ladrillos</w:t>
      </w:r>
    </w:p>
    <w:p w:rsidR="00C7085E" w:rsidRDefault="00C7085E" w:rsidP="00B71B1A">
      <w:pPr>
        <w:spacing w:before="120" w:after="240" w:line="276" w:lineRule="auto"/>
        <w:ind w:right="-285"/>
      </w:pPr>
      <w:r>
        <w:t>Los materiales empleados deberán cumplir las especificaciones del Código Técnico de la Edificación, Documento Básico: Seguridad Estructural-Fábrica.</w:t>
      </w:r>
    </w:p>
    <w:p w:rsidR="00C7085E" w:rsidRDefault="00C7085E" w:rsidP="00B71B1A">
      <w:pPr>
        <w:keepNext/>
        <w:widowControl/>
        <w:numPr>
          <w:ilvl w:val="0"/>
          <w:numId w:val="12"/>
        </w:numPr>
        <w:spacing w:before="120" w:after="240" w:line="276" w:lineRule="auto"/>
        <w:ind w:left="714" w:right="-285" w:hanging="357"/>
        <w:rPr>
          <w:b/>
        </w:rPr>
      </w:pPr>
      <w:r>
        <w:rPr>
          <w:b/>
        </w:rPr>
        <w:t>Fábrica de bloques de hormigón</w:t>
      </w:r>
    </w:p>
    <w:p w:rsidR="00C7085E" w:rsidRDefault="00C7085E" w:rsidP="00B71B1A">
      <w:pPr>
        <w:spacing w:before="120" w:after="240" w:line="276" w:lineRule="auto"/>
        <w:ind w:right="-285"/>
      </w:pPr>
      <w:r>
        <w:t>Los materiales empleados en la fabricación de los bloques de hormigón cumplirán con la norma UNE-EN 771-3: “</w:t>
      </w:r>
      <w:r>
        <w:rPr>
          <w:i/>
        </w:rPr>
        <w:t xml:space="preserve">Especificaciones de piezas para fábrica de albañilería. Parte 3: </w:t>
      </w:r>
      <w:r>
        <w:rPr>
          <w:i/>
        </w:rPr>
        <w:lastRenderedPageBreak/>
        <w:t xml:space="preserve">Bloques de hormigón (áridos densos y ligeros)”, </w:t>
      </w:r>
      <w:r>
        <w:t>sin perjuicio de lo establecido en la Instrucción de Hormigón Estructural (EHE) y en la Instrucción para la Recepción de Cementos (RC-08).</w:t>
      </w:r>
    </w:p>
    <w:p w:rsidR="00C7085E" w:rsidRDefault="00C7085E" w:rsidP="00B71B1A">
      <w:pPr>
        <w:widowControl/>
        <w:numPr>
          <w:ilvl w:val="0"/>
          <w:numId w:val="12"/>
        </w:numPr>
        <w:spacing w:before="120" w:after="240" w:line="276" w:lineRule="auto"/>
        <w:ind w:left="714" w:right="-285" w:hanging="357"/>
        <w:rPr>
          <w:b/>
        </w:rPr>
      </w:pPr>
      <w:r>
        <w:rPr>
          <w:b/>
        </w:rPr>
        <w:t>Mampostería</w:t>
      </w:r>
    </w:p>
    <w:p w:rsidR="00C7085E" w:rsidRDefault="00C7085E" w:rsidP="00B71B1A">
      <w:pPr>
        <w:spacing w:before="120" w:after="240" w:line="276" w:lineRule="auto"/>
        <w:ind w:right="-285"/>
        <w:rPr>
          <w:rFonts w:cs="Arial"/>
          <w:bCs/>
          <w:color w:val="000000"/>
          <w:szCs w:val="22"/>
        </w:rPr>
      </w:pPr>
      <w:r>
        <w:rPr>
          <w:rFonts w:cs="Arial"/>
          <w:bCs/>
          <w:color w:val="000000"/>
          <w:szCs w:val="22"/>
        </w:rPr>
        <w:t>Se define como mampostería a la obra de fábrica realizada con piedras sin labra o con poca labra de tamaño tal que permita manejarlas a mano.</w:t>
      </w:r>
    </w:p>
    <w:p w:rsidR="00C7085E" w:rsidRDefault="00C7085E" w:rsidP="00B71B1A">
      <w:pPr>
        <w:spacing w:before="120" w:after="240" w:line="276" w:lineRule="auto"/>
        <w:ind w:right="-285"/>
      </w:pPr>
      <w:r>
        <w:t>La mampostería se clasifica en:</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Careada: en la que los mampuestos están labrados por una sola cara que define el paramento.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Concertada: la que se construye colocando, en sus paramentos vistos, mampuestos con sus caras labradas en forma poligonal más o menos regular para que su asiento se verifique sobre superficies sensiblemente planas.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 xml:space="preserve">Descafilada: cuando los mampuestos están labrados en los bordes de una cara, que define el paramento dejándose el resto de dicha cara saledizo o averrugado. </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 xml:space="preserve">En seco: la construida colocando los mampuestos a hueso, sin ningún mortero de unión ante ellos. </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 xml:space="preserve">Ordinaria: cuando se colocan, incluso en el paramento, piedras o mampuestos de varias dimensiones, sin labra ninguna, arreglada solamente a martillo. </w:t>
      </w:r>
    </w:p>
    <w:p w:rsidR="00C7085E" w:rsidRDefault="00C7085E" w:rsidP="00B71B1A">
      <w:pPr>
        <w:spacing w:before="120" w:after="240" w:line="276" w:lineRule="auto"/>
        <w:ind w:right="-285"/>
        <w:rPr>
          <w:lang w:val="es-ES_tradnl"/>
        </w:rPr>
      </w:pPr>
      <w:r>
        <w:t>La piedra a emplear en mampostería deberá cumplir las siguientes condiciones: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Ser homogénea, de grano uniforme y resistente a las cargas que tenga que soportar. Se rechazarán las piedras que al golpearlas no den fragmentos de aristas vivas.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Carecer de grietas, coqueras, nódulos y restos orgánicos. Dará sonido claro al golpearlas con el martillo.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Ser inalterable al agua y a la superficie y resistente al fuego.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Tener suficiente adherencia a los morteros.</w:t>
      </w:r>
    </w:p>
    <w:p w:rsidR="00C7085E" w:rsidRDefault="00C7085E" w:rsidP="00B71B1A">
      <w:pPr>
        <w:spacing w:before="120" w:after="240" w:line="276" w:lineRule="auto"/>
        <w:ind w:right="-285"/>
        <w:rPr>
          <w:lang w:val="es-ES_tradnl"/>
        </w:rPr>
      </w:pPr>
      <w:r>
        <w:t>Cada pieza deberá carecer de depresiones capaces de debilitarla, o de impedir su correcta colocación y será de una conformación tal, que satisfaga, tanto en su aspecto como estructuralmente, las exigencias de la fábrica especificadas.</w:t>
      </w:r>
    </w:p>
    <w:p w:rsidR="00C7085E" w:rsidRDefault="00C7085E" w:rsidP="00B71B1A">
      <w:pPr>
        <w:spacing w:before="120" w:after="240" w:line="276" w:lineRule="auto"/>
        <w:ind w:right="-285"/>
      </w:pPr>
      <w:r>
        <w:t>Las dimensiones en las piedras serán las indicadas en los planos y, si no existieran tales detalles al respecto, se preverán las dimensiones y superficies de las caras necesarias para obtener las características generales y el aspecto indicado en los mismos.</w:t>
      </w:r>
    </w:p>
    <w:p w:rsidR="00C7085E" w:rsidRDefault="00C7085E" w:rsidP="00B71B1A">
      <w:pPr>
        <w:spacing w:before="120" w:after="240" w:line="276" w:lineRule="auto"/>
        <w:ind w:right="-285"/>
      </w:pPr>
      <w:r>
        <w:t>Por lo general las piedras tendrán un espesor superior a diez centímetros (10 cm), anchos mínimos de una vez y medio su espesor y longitudes mayores de una vez y medio su ancho. Cuando se emplean piedras de coronación, sus longitudes serán, como mínimo, las del ancho del asiento de su tizón más veinticinco centímetros (25 cm).</w:t>
      </w:r>
    </w:p>
    <w:p w:rsidR="00C7085E" w:rsidRDefault="00C7085E" w:rsidP="00B71B1A">
      <w:pPr>
        <w:spacing w:before="120" w:after="240" w:line="276" w:lineRule="auto"/>
        <w:ind w:right="-285"/>
      </w:pPr>
      <w:r>
        <w:t xml:space="preserve">Por lo menos un cincuenta por ciento (50%) del volumen total de la mampostería estará formado por piedras cuya cubicación sea, como mínimo, de veinte decímetros cúbicos (20 </w:t>
      </w:r>
      <w:r>
        <w:lastRenderedPageBreak/>
        <w:t>dm</w:t>
      </w:r>
      <w:r>
        <w:rPr>
          <w:vertAlign w:val="superscript"/>
        </w:rPr>
        <w:t>3</w:t>
      </w:r>
      <w:r>
        <w:t>).</w:t>
      </w:r>
    </w:p>
    <w:p w:rsidR="00C7085E" w:rsidRDefault="00C7085E" w:rsidP="00B71B1A">
      <w:pPr>
        <w:spacing w:before="120" w:after="240" w:line="276" w:lineRule="auto"/>
        <w:ind w:right="-285"/>
      </w:pPr>
      <w:r>
        <w:t>Las piedras se trabajarán con el fin de quitarles todas las partes delgadas o débiles.</w:t>
      </w:r>
    </w:p>
    <w:p w:rsidR="00C7085E" w:rsidRDefault="00C7085E" w:rsidP="00B71B1A">
      <w:pPr>
        <w:spacing w:before="120" w:after="240" w:line="276" w:lineRule="auto"/>
        <w:ind w:right="-285"/>
      </w:pPr>
      <w:r>
        <w:t>La capacidad de absorción de agua será inferior al dos por ciento (2%) en peso.</w:t>
      </w:r>
    </w:p>
    <w:p w:rsidR="00C7085E" w:rsidRDefault="00C7085E" w:rsidP="00B71B1A">
      <w:pPr>
        <w:keepNext/>
        <w:widowControl/>
        <w:numPr>
          <w:ilvl w:val="0"/>
          <w:numId w:val="12"/>
        </w:numPr>
        <w:spacing w:before="120" w:after="240" w:line="276" w:lineRule="auto"/>
        <w:ind w:left="714" w:right="-285" w:hanging="357"/>
        <w:rPr>
          <w:b/>
        </w:rPr>
      </w:pPr>
      <w:r>
        <w:rPr>
          <w:b/>
        </w:rPr>
        <w:t>Morteros de cemento</w:t>
      </w:r>
    </w:p>
    <w:p w:rsidR="00C7085E" w:rsidRDefault="00C7085E" w:rsidP="00B71B1A">
      <w:pPr>
        <w:spacing w:before="120" w:after="240" w:line="276" w:lineRule="auto"/>
        <w:ind w:right="-285"/>
      </w:pPr>
      <w:r>
        <w:t>En el Proyecto se definirá la dosificación en función del uso a que se destina.</w:t>
      </w:r>
    </w:p>
    <w:p w:rsidR="00C7085E" w:rsidRDefault="00C7085E" w:rsidP="00B71B1A">
      <w:pPr>
        <w:spacing w:before="120" w:after="240" w:line="276" w:lineRule="auto"/>
        <w:ind w:right="-285"/>
      </w:pPr>
      <w:r>
        <w:t>El cemento será CEM I-32,5. En general, el mortero para fábricas de ladrillo y mampostería tendrá una dosificación de doscientos cincuenta kilogramos (250 kg) de CEM I-32,5 por metro cúbico, y para el resto de usos será superior a cuatrocientos cincuenta kilogramos (450 kg) de CEM I-32,5 por metro cúbico.</w:t>
      </w:r>
    </w:p>
    <w:p w:rsidR="00C7085E" w:rsidRDefault="00C7085E" w:rsidP="00B71B1A">
      <w:pPr>
        <w:widowControl/>
        <w:numPr>
          <w:ilvl w:val="0"/>
          <w:numId w:val="12"/>
        </w:numPr>
        <w:spacing w:before="120" w:after="240" w:line="276" w:lineRule="auto"/>
        <w:ind w:left="714" w:right="-285" w:hanging="357"/>
        <w:rPr>
          <w:b/>
        </w:rPr>
      </w:pPr>
      <w:r>
        <w:rPr>
          <w:b/>
        </w:rPr>
        <w:t>Cubiertas</w:t>
      </w:r>
    </w:p>
    <w:p w:rsidR="00C7085E" w:rsidRDefault="00C7085E" w:rsidP="00B71B1A">
      <w:pPr>
        <w:spacing w:before="120" w:after="240" w:line="276" w:lineRule="auto"/>
        <w:ind w:right="-285"/>
      </w:pPr>
      <w:r>
        <w:t>Los materiales a utilizar en la formación de cubiertas deberán cumplir las prescripciones establecidas en el apartado 2.4 del Documento Básico HS: Salubridad del Código Técnico de la Edificación (CTE).</w:t>
      </w:r>
    </w:p>
    <w:p w:rsidR="00C7085E" w:rsidRDefault="00C7085E" w:rsidP="00B71B1A">
      <w:pPr>
        <w:widowControl/>
        <w:numPr>
          <w:ilvl w:val="0"/>
          <w:numId w:val="12"/>
        </w:numPr>
        <w:spacing w:before="120" w:after="240" w:line="276" w:lineRule="auto"/>
        <w:ind w:left="714" w:right="-285" w:hanging="357"/>
        <w:rPr>
          <w:b/>
        </w:rPr>
      </w:pPr>
      <w:r>
        <w:rPr>
          <w:b/>
        </w:rPr>
        <w:t>Paneles prefabricados de hormigón</w:t>
      </w:r>
    </w:p>
    <w:p w:rsidR="00C7085E" w:rsidRDefault="00C7085E" w:rsidP="00B71B1A">
      <w:pPr>
        <w:spacing w:before="120" w:after="240" w:line="276" w:lineRule="auto"/>
        <w:ind w:right="-285"/>
        <w:rPr>
          <w:rFonts w:cs="Arial"/>
          <w:bCs/>
          <w:color w:val="000000"/>
          <w:szCs w:val="22"/>
        </w:rPr>
      </w:pPr>
      <w:r>
        <w:rPr>
          <w:rFonts w:cs="Arial"/>
          <w:bCs/>
          <w:color w:val="000000"/>
          <w:szCs w:val="22"/>
        </w:rPr>
        <w:t>Los paneles de hormigón son elementos prefabricados de hormigón utilizados en el cerramiento de fachadas de edificios, sin que formen parte de la estructura resistente.</w:t>
      </w:r>
    </w:p>
    <w:p w:rsidR="00C7085E" w:rsidRDefault="00C7085E" w:rsidP="00B71B1A">
      <w:pPr>
        <w:spacing w:before="120" w:after="240" w:line="276" w:lineRule="auto"/>
        <w:ind w:right="-285"/>
      </w:pPr>
      <w:r>
        <w:rPr>
          <w:rFonts w:cs="Arial"/>
          <w:bCs/>
          <w:color w:val="000000"/>
          <w:szCs w:val="22"/>
        </w:rPr>
        <w:t xml:space="preserve">El hormigón y sus elementos constitutivos cumplirán las especificaciones </w:t>
      </w:r>
      <w:r>
        <w:t>establecidas en la Instrucción de Hormigón Estructural (EHE).</w:t>
      </w:r>
    </w:p>
    <w:p w:rsidR="00C7085E" w:rsidRDefault="00C7085E" w:rsidP="00B71B1A">
      <w:pPr>
        <w:spacing w:before="120" w:after="240" w:line="276" w:lineRule="auto"/>
        <w:ind w:right="-285"/>
      </w:pPr>
      <w:r>
        <w:t>Además se tendrán en cuenta las "Recomendaciones Internacionales unificadas para el cálculo y la ejecución de las estructuras formadas por la unión de paneles de gran tamaño" del Comité Europeo del Hormigón (CEB).</w:t>
      </w:r>
    </w:p>
    <w:p w:rsidR="00C7085E" w:rsidRDefault="00C7085E" w:rsidP="00B71B1A">
      <w:pPr>
        <w:spacing w:before="120" w:after="240" w:line="276" w:lineRule="auto"/>
        <w:ind w:right="-285"/>
        <w:rPr>
          <w:rFonts w:cs="Arial"/>
          <w:bCs/>
          <w:color w:val="000000"/>
          <w:szCs w:val="22"/>
        </w:rPr>
      </w:pPr>
      <w:r>
        <w:t xml:space="preserve">Los paneles serán tipo “sándwich”, formados por dos planchas de hormigón de cinco centímetros (5 cm) </w:t>
      </w:r>
      <w:r>
        <w:rPr>
          <w:rFonts w:cs="Arial"/>
          <w:bCs/>
          <w:color w:val="000000"/>
          <w:szCs w:val="22"/>
        </w:rPr>
        <w:t xml:space="preserve">de espesor, con rigidizadores interiores y capa interior de poliestireno de diez </w:t>
      </w:r>
      <w:r>
        <w:t>centímetros</w:t>
      </w:r>
      <w:r>
        <w:rPr>
          <w:rFonts w:cs="Arial"/>
          <w:bCs/>
          <w:color w:val="000000"/>
          <w:szCs w:val="22"/>
        </w:rPr>
        <w:t xml:space="preserve"> (10 cm) de espesor.</w:t>
      </w:r>
    </w:p>
    <w:p w:rsidR="00C7085E" w:rsidRDefault="00C7085E" w:rsidP="00B71B1A">
      <w:pPr>
        <w:spacing w:before="120" w:after="240" w:line="276" w:lineRule="auto"/>
        <w:ind w:right="-285"/>
        <w:rPr>
          <w:rFonts w:cs="Arial"/>
          <w:bCs/>
          <w:color w:val="000000"/>
          <w:szCs w:val="22"/>
        </w:rPr>
      </w:pPr>
      <w:r>
        <w:rPr>
          <w:rFonts w:cs="Arial"/>
          <w:bCs/>
          <w:color w:val="000000"/>
          <w:szCs w:val="22"/>
        </w:rPr>
        <w:t>El tamaño máximo admisible del árido será de veinte milímetros (20 mm).</w:t>
      </w:r>
    </w:p>
    <w:p w:rsidR="00C7085E" w:rsidRDefault="00C7085E" w:rsidP="00B71B1A">
      <w:pPr>
        <w:spacing w:before="120" w:after="240" w:line="276" w:lineRule="auto"/>
        <w:ind w:right="-285"/>
        <w:rPr>
          <w:rFonts w:cs="Arial"/>
          <w:bCs/>
          <w:color w:val="000000"/>
          <w:szCs w:val="22"/>
        </w:rPr>
      </w:pPr>
      <w:r>
        <w:rPr>
          <w:rFonts w:cs="Arial"/>
          <w:bCs/>
          <w:color w:val="000000"/>
          <w:szCs w:val="22"/>
        </w:rPr>
        <w:t>Las características del hormigón que se utilice en la fabricación de los paneles de cerramiento serán definidas por el fabricante para que el producto cumpla con las condiciones de calidad y características declaradas por aquel.</w:t>
      </w:r>
    </w:p>
    <w:p w:rsidR="00C7085E" w:rsidRDefault="00C7085E" w:rsidP="00B71B1A">
      <w:pPr>
        <w:spacing w:before="120" w:after="240" w:line="276" w:lineRule="auto"/>
        <w:ind w:right="-285"/>
      </w:pPr>
      <w:r>
        <w:t>La resistencia característica del hormigón de los paneles de cerramiento a los veintiocho días no será inferior a doscientos kilopondios por centímetro cuadrado (200 kp/cm</w:t>
      </w:r>
      <w:r>
        <w:rPr>
          <w:vertAlign w:val="superscript"/>
        </w:rPr>
        <w:t>2</w:t>
      </w:r>
      <w:r>
        <w:t>) para el hormigón en masa o armado y ciento cincuenta kilopondios por centímetro cuadrado (150 kp/cm</w:t>
      </w:r>
      <w:r>
        <w:rPr>
          <w:vertAlign w:val="superscript"/>
        </w:rPr>
        <w:t>2</w:t>
      </w:r>
      <w:r>
        <w:t>) para morteros reforzados con fibras sintéticas.</w:t>
      </w:r>
    </w:p>
    <w:p w:rsidR="00C7085E" w:rsidRDefault="00C7085E" w:rsidP="00B71B1A">
      <w:pPr>
        <w:spacing w:before="120" w:after="240" w:line="276" w:lineRule="auto"/>
        <w:ind w:right="-285"/>
        <w:rPr>
          <w:i/>
        </w:rPr>
      </w:pPr>
      <w:r>
        <w:t xml:space="preserve">La resistencia al fuego mínima de los paneles de cerramiento vendrá determinada por lo </w:t>
      </w:r>
      <w:r>
        <w:lastRenderedPageBreak/>
        <w:t>especificado al respecto en la UNE-EN 1363-2: “</w:t>
      </w:r>
      <w:r>
        <w:rPr>
          <w:i/>
        </w:rPr>
        <w:t>Ensayos de resistencia al fuego. Parte 2: Procedimientos alternativos y adicionales”.</w:t>
      </w:r>
    </w:p>
    <w:p w:rsidR="00C7085E" w:rsidRDefault="00C7085E" w:rsidP="00B71B1A">
      <w:pPr>
        <w:spacing w:before="120" w:after="240" w:line="276" w:lineRule="auto"/>
        <w:ind w:right="-285"/>
      </w:pPr>
      <w:r>
        <w:t>En la documentación del fabricante deberá venir especificado el coeficiente de dilatación térmica, el de hinchamiento y la resistencia térmica del panel, así como el tipo de acabado exterior, o revestimiento del mismo.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widowControl/>
        <w:numPr>
          <w:ilvl w:val="0"/>
          <w:numId w:val="12"/>
        </w:numPr>
        <w:spacing w:before="120" w:after="240" w:line="276" w:lineRule="auto"/>
        <w:ind w:left="714" w:right="-285" w:hanging="357"/>
        <w:rPr>
          <w:b/>
        </w:rPr>
      </w:pPr>
      <w:r>
        <w:rPr>
          <w:b/>
        </w:rPr>
        <w:t>Forjados unidireccionales</w:t>
      </w:r>
    </w:p>
    <w:p w:rsidR="00C7085E" w:rsidRDefault="00C7085E" w:rsidP="00B71B1A">
      <w:pPr>
        <w:spacing w:before="120" w:after="240" w:line="276" w:lineRule="auto"/>
        <w:ind w:right="-285"/>
      </w:pPr>
      <w:r>
        <w:t>Para la ejecución de los forjados de viguetas de hormigón pretensado deberán cumplirse las prescripciones establecidas en la Instrucción de Hormigón Estructural (EHE) y en el Código Técnico de la Edificación (CTE).</w:t>
      </w:r>
    </w:p>
    <w:p w:rsidR="00C7085E" w:rsidRDefault="00C7085E" w:rsidP="00B71B1A">
      <w:pPr>
        <w:spacing w:before="120" w:after="240" w:line="276" w:lineRule="auto"/>
        <w:ind w:right="-285"/>
      </w:pPr>
      <w:r>
        <w:t>Las viguetas se almacenarán en obra en su posición normal de trabajo, sobre apoyos de suficiente extensión y evitando contacto con el terreno o con cualquier producto que las pueda manchar o deteriorar.</w:t>
      </w:r>
    </w:p>
    <w:p w:rsidR="00C7085E" w:rsidRDefault="00C7085E" w:rsidP="00B71B1A">
      <w:pPr>
        <w:widowControl/>
        <w:numPr>
          <w:ilvl w:val="0"/>
          <w:numId w:val="12"/>
        </w:numPr>
        <w:spacing w:before="120" w:after="240" w:line="276" w:lineRule="auto"/>
        <w:ind w:left="714" w:right="-285" w:hanging="357"/>
        <w:rPr>
          <w:b/>
        </w:rPr>
      </w:pPr>
      <w:r>
        <w:rPr>
          <w:b/>
        </w:rPr>
        <w:t>Forjado reticular</w:t>
      </w:r>
    </w:p>
    <w:p w:rsidR="00C7085E" w:rsidRDefault="00C7085E" w:rsidP="00B71B1A">
      <w:pPr>
        <w:spacing w:before="120" w:after="240" w:line="276" w:lineRule="auto"/>
        <w:ind w:right="-285"/>
      </w:pPr>
      <w:r>
        <w:t>Los forjados serán con nervios de hormigón armado dispuestos en dos direcciones perpendiculares entre sí, y que cumplan las condiciones que establecen las bases de cálculo del Anejo correspondiente.</w:t>
      </w:r>
    </w:p>
    <w:p w:rsidR="00C7085E" w:rsidRDefault="00C7085E" w:rsidP="00B71B1A">
      <w:pPr>
        <w:spacing w:before="120" w:after="240" w:line="276" w:lineRule="auto"/>
        <w:ind w:right="-285"/>
      </w:pPr>
      <w:r>
        <w:t>Las piezas de entrevigado serán de bloques de hormigón o cerámicas sin alabeos, roturas ni fisuraciones, deberán resistir, apoyado en sus bordes una carga vertical de doscientos cincuenta kilogramos por metro cuadrado (250 Kg/m</w:t>
      </w:r>
      <w:r>
        <w:rPr>
          <w:vertAlign w:val="superscript"/>
        </w:rPr>
        <w:t>2</w:t>
      </w:r>
      <w:r>
        <w:t>). Los puntales del encofrado serán capaces de soportar el peso del forjado que sobre él gravita más un treinta por ciento (30%) por carga accidental durante la construcción. Se colocarán bajo las sopandas, no debiéndose utilizar diámetros inferiores a siete centímetros (7 cm), ni admitiéndose más de un puntal empalmado por cada cuatro voladizos.</w:t>
      </w:r>
    </w:p>
    <w:p w:rsidR="00C7085E" w:rsidRDefault="00C7085E" w:rsidP="00B71B1A">
      <w:pPr>
        <w:spacing w:before="120" w:after="240" w:line="276" w:lineRule="auto"/>
        <w:ind w:right="-285"/>
      </w:pPr>
      <w:r>
        <w:t>Conviene introducir riostras y cruces de San Andrés discrecionalmente, sobre todo el contorno. Cuando la altura supere los cuatro metros (4 m) se tomarán precauciones en la disposición de puntales y su arriostramiento.</w:t>
      </w:r>
    </w:p>
    <w:p w:rsidR="00C7085E" w:rsidRDefault="00C7085E" w:rsidP="00B71B1A">
      <w:pPr>
        <w:spacing w:before="120" w:after="240" w:line="276" w:lineRule="auto"/>
        <w:ind w:right="-285"/>
      </w:pPr>
      <w:r>
        <w:t>Cuando se trate del primer forjado se cuidará el apoyo de los puntales sobre el terreno.</w:t>
      </w:r>
    </w:p>
    <w:p w:rsidR="00C7085E" w:rsidRDefault="00C7085E" w:rsidP="00B71B1A">
      <w:pPr>
        <w:spacing w:before="120" w:after="240" w:line="276" w:lineRule="auto"/>
        <w:ind w:right="-285"/>
      </w:pPr>
      <w:r>
        <w:t>El desencofrado se realizará:</w:t>
      </w:r>
    </w:p>
    <w:p w:rsidR="00C7085E" w:rsidRDefault="00C7085E" w:rsidP="00B71B1A">
      <w:pPr>
        <w:widowControl/>
        <w:numPr>
          <w:ilvl w:val="0"/>
          <w:numId w:val="12"/>
        </w:numPr>
        <w:suppressAutoHyphens/>
        <w:spacing w:before="120" w:after="240" w:line="276" w:lineRule="auto"/>
        <w:ind w:left="714" w:right="-285" w:hanging="357"/>
      </w:pPr>
      <w:r>
        <w:t>En condiciones normales de temperatura, el plazo de desencofrado será de veintiún días.</w:t>
      </w:r>
    </w:p>
    <w:p w:rsidR="00C7085E" w:rsidRDefault="00C7085E" w:rsidP="00B71B1A">
      <w:pPr>
        <w:widowControl/>
        <w:numPr>
          <w:ilvl w:val="0"/>
          <w:numId w:val="12"/>
        </w:numPr>
        <w:suppressAutoHyphens/>
        <w:spacing w:before="120" w:after="240" w:line="276" w:lineRule="auto"/>
        <w:ind w:left="714" w:right="-285" w:hanging="357"/>
      </w:pPr>
      <w:r>
        <w:t>Puede homogeneizarse la planta superior a los ocho días del hormigonado de la planta inferior, siempre que ésta se encuentre apuntalada.</w:t>
      </w:r>
    </w:p>
    <w:p w:rsidR="00C7085E" w:rsidRDefault="00C7085E" w:rsidP="00B71B1A">
      <w:pPr>
        <w:widowControl/>
        <w:numPr>
          <w:ilvl w:val="0"/>
          <w:numId w:val="12"/>
        </w:numPr>
        <w:suppressAutoHyphens/>
        <w:spacing w:before="120" w:after="240" w:line="276" w:lineRule="auto"/>
        <w:ind w:left="714" w:right="-285" w:hanging="357"/>
      </w:pPr>
      <w:r>
        <w:t>No deben existir más de tres plantas encofradas simultáneamente.</w:t>
      </w:r>
    </w:p>
    <w:p w:rsidR="00C7085E" w:rsidRDefault="00C7085E" w:rsidP="00B71B1A">
      <w:pPr>
        <w:widowControl/>
        <w:numPr>
          <w:ilvl w:val="0"/>
          <w:numId w:val="12"/>
        </w:numPr>
        <w:suppressAutoHyphens/>
        <w:spacing w:before="120" w:after="240" w:line="276" w:lineRule="auto"/>
        <w:ind w:left="714" w:right="-285" w:hanging="357"/>
      </w:pPr>
      <w:r>
        <w:lastRenderedPageBreak/>
        <w:t>Para luces de recuadros mayores de 6,0 x 6,0 m. o bien cuando la temperatura se aproxime a los 5º C., los ocho días del segundo apartado se sustituirán por diez días.</w:t>
      </w:r>
    </w:p>
    <w:p w:rsidR="00C7085E" w:rsidRDefault="00C7085E" w:rsidP="00B71B1A">
      <w:pPr>
        <w:widowControl/>
        <w:numPr>
          <w:ilvl w:val="0"/>
          <w:numId w:val="12"/>
        </w:numPr>
        <w:suppressAutoHyphens/>
        <w:spacing w:before="120" w:after="240" w:line="276" w:lineRule="auto"/>
        <w:ind w:left="714" w:right="-285" w:hanging="357"/>
      </w:pPr>
      <w:r>
        <w:t>En caso de voladizos el desencofrado se hará de manera que la fecha se obtenga gradualmente.</w:t>
      </w:r>
    </w:p>
    <w:p w:rsidR="00C7085E" w:rsidRDefault="00C7085E" w:rsidP="00B71B1A">
      <w:pPr>
        <w:widowControl/>
        <w:numPr>
          <w:ilvl w:val="0"/>
          <w:numId w:val="12"/>
        </w:numPr>
        <w:suppressAutoHyphens/>
        <w:spacing w:before="120" w:after="240" w:line="276" w:lineRule="auto"/>
        <w:ind w:left="714" w:right="-285" w:hanging="357"/>
      </w:pPr>
      <w:r>
        <w:t>Se evitará el desencofrado súbito y sin precauciones, evitando el impacto de los encofrados sobre los forjados.</w:t>
      </w:r>
    </w:p>
    <w:p w:rsidR="00C7085E" w:rsidRDefault="00C7085E" w:rsidP="00B71B1A">
      <w:pPr>
        <w:spacing w:before="120" w:after="240" w:line="276" w:lineRule="auto"/>
        <w:ind w:right="-285"/>
      </w:pPr>
      <w:r>
        <w:t>Durante la construcción de los cerramientos y tabiques se evitará el acopio excesivo de material sobre el forjado e igualmente se tendrá en cuenta la deformación propia del mismo a fin de evitar la formación de fisuras en las fábricas.</w:t>
      </w:r>
    </w:p>
    <w:p w:rsidR="00C7085E" w:rsidRDefault="00C7085E" w:rsidP="00B71B1A">
      <w:pPr>
        <w:spacing w:before="120" w:after="240" w:line="276" w:lineRule="auto"/>
        <w:ind w:right="-285"/>
      </w:pPr>
      <w:r>
        <w:t>Es muy importante evitar los agujeros en las zonas macizas de capiteles. En el caso de que sea inevitable los orificios, se preverán al hacer el Proyecto a fin de disponer el armado especial que cada caso requiera y poder emplear como molde tubos de PVC o metálicos sin herir el hormigón del capitel.</w:t>
      </w:r>
    </w:p>
    <w:p w:rsidR="00C7085E" w:rsidRDefault="00C7085E" w:rsidP="00B71B1A">
      <w:pPr>
        <w:spacing w:before="120" w:after="240" w:line="276" w:lineRule="auto"/>
        <w:ind w:right="-285"/>
      </w:pPr>
      <w:r>
        <w:t>Se verificará que no disminuya la resistencia al esfuerzo cortante o a la flexión en el elemento y en ningún caso se practicarán agujeros después de hormigonar el forjado.</w:t>
      </w:r>
    </w:p>
    <w:p w:rsidR="00C7085E" w:rsidRDefault="00C7085E" w:rsidP="00B71B1A">
      <w:pPr>
        <w:spacing w:before="120" w:after="240" w:line="276" w:lineRule="auto"/>
        <w:ind w:right="-285"/>
      </w:pPr>
      <w:r>
        <w:t>Las piezas de aligeramiento se mojarán previamente y en este estado se encontrarán en el momento de hormigonar.</w:t>
      </w:r>
    </w:p>
    <w:p w:rsidR="00C7085E" w:rsidRDefault="00C7085E" w:rsidP="00B71B1A">
      <w:pPr>
        <w:spacing w:before="120" w:after="240" w:line="276" w:lineRule="auto"/>
        <w:ind w:right="-285"/>
      </w:pPr>
      <w:r>
        <w:t>La alineación de las piezas debe ser lo más perfecta posible utilizando el procedimiento que se estime oportuno.</w:t>
      </w:r>
    </w:p>
    <w:p w:rsidR="00C7085E" w:rsidRDefault="00C7085E" w:rsidP="00B71B1A">
      <w:pPr>
        <w:spacing w:before="120" w:after="240" w:line="276" w:lineRule="auto"/>
        <w:ind w:right="-285"/>
      </w:pPr>
      <w:r>
        <w:t>Los capiteles o zonas macizas del forjado se anclarán a los pilares según el detalle que deberá figurar en los planos correspondientes.</w:t>
      </w:r>
    </w:p>
    <w:p w:rsidR="00C7085E" w:rsidRDefault="00C7085E" w:rsidP="00B71B1A">
      <w:pPr>
        <w:spacing w:before="120" w:after="240" w:line="276" w:lineRule="auto"/>
        <w:ind w:right="-285"/>
      </w:pPr>
      <w:r>
        <w:t>Antes de hormigonar, se revisará la disposición, calibres y recubrimientos de las armaduras.</w:t>
      </w:r>
    </w:p>
    <w:p w:rsidR="00C7085E" w:rsidRDefault="00C7085E" w:rsidP="00B71B1A">
      <w:pPr>
        <w:spacing w:before="120" w:after="240" w:line="276" w:lineRule="auto"/>
        <w:ind w:right="-285"/>
      </w:pPr>
      <w:r>
        <w:t>A no ser que se indique expresamente otra cosa, los nervios perimetrales tendrán un ancho mínimo de veinticinco centímetros (25 cm), pero siempre mayor que el canto del forjado.</w:t>
      </w:r>
    </w:p>
    <w:p w:rsidR="00C7085E" w:rsidRDefault="00C7085E" w:rsidP="00B71B1A">
      <w:pPr>
        <w:spacing w:before="120" w:after="240" w:line="276" w:lineRule="auto"/>
        <w:ind w:right="-285"/>
      </w:pPr>
      <w:r>
        <w:t xml:space="preserve">Cuando existan fábricas u otro tipo de cargas que apoyen sobre forjados, se asegurará que dicho forjado ha sido calculado para dicha carga, a cuyo fin en los planos se indicará la zona prevista para dicho apoyo. </w:t>
      </w:r>
    </w:p>
    <w:p w:rsidR="00C7085E" w:rsidRDefault="00C7085E" w:rsidP="00B71B1A">
      <w:pPr>
        <w:spacing w:before="120" w:after="240" w:line="276" w:lineRule="auto"/>
        <w:ind w:right="-285"/>
      </w:pPr>
      <w:r>
        <w:t>Se evitará la colocación de maquinillos en los bordes de los forjados sin el debido apeo.</w:t>
      </w:r>
    </w:p>
    <w:p w:rsidR="00C7085E" w:rsidRDefault="00C7085E" w:rsidP="00B71B1A">
      <w:pPr>
        <w:spacing w:before="120" w:after="240" w:line="276" w:lineRule="auto"/>
        <w:ind w:right="-285"/>
      </w:pPr>
      <w:r>
        <w:t>Cuando se dejen vanos para la implantación de la grúa se procurará que no afecten a las fajas principales entre pilares y sobre todo que no deje en vuelo el forjado cortado.</w:t>
      </w:r>
    </w:p>
    <w:p w:rsidR="00C7085E" w:rsidRDefault="00C7085E" w:rsidP="00B71B1A">
      <w:pPr>
        <w:widowControl/>
        <w:numPr>
          <w:ilvl w:val="0"/>
          <w:numId w:val="12"/>
        </w:numPr>
        <w:spacing w:before="120" w:after="240" w:line="276" w:lineRule="auto"/>
        <w:ind w:left="714" w:right="-285" w:hanging="357"/>
        <w:rPr>
          <w:b/>
        </w:rPr>
      </w:pPr>
      <w:r>
        <w:rPr>
          <w:b/>
        </w:rPr>
        <w:t>Forjado placas alveolares</w:t>
      </w:r>
    </w:p>
    <w:p w:rsidR="00C7085E" w:rsidRDefault="00C7085E" w:rsidP="00B71B1A">
      <w:pPr>
        <w:spacing w:before="120" w:after="240" w:line="276" w:lineRule="auto"/>
        <w:ind w:right="-285"/>
      </w:pPr>
      <w:r>
        <w:rPr>
          <w:rFonts w:cs="Arial"/>
          <w:bCs/>
          <w:color w:val="000000"/>
          <w:szCs w:val="22"/>
        </w:rPr>
        <w:t xml:space="preserve">La ejecución de los forjados de placas alveoladas cumplirá con las especificaciones establecidas al respecto en el artículo 76º y en el Anejo nº12 de </w:t>
      </w:r>
      <w:r>
        <w:t>la Instrucción de Hormigón Estructural (EHE).</w:t>
      </w:r>
    </w:p>
    <w:p w:rsidR="00C7085E" w:rsidRDefault="00C7085E" w:rsidP="00B71B1A">
      <w:pPr>
        <w:widowControl/>
        <w:numPr>
          <w:ilvl w:val="0"/>
          <w:numId w:val="12"/>
        </w:numPr>
        <w:spacing w:before="120" w:after="240" w:line="276" w:lineRule="auto"/>
        <w:ind w:left="714" w:right="-285" w:hanging="357"/>
        <w:rPr>
          <w:b/>
        </w:rPr>
      </w:pPr>
      <w:r>
        <w:rPr>
          <w:b/>
        </w:rPr>
        <w:lastRenderedPageBreak/>
        <w:t>Fábrica de ladrillos y fábrica de bloques de hormigón</w:t>
      </w:r>
    </w:p>
    <w:p w:rsidR="00C7085E" w:rsidRDefault="00C7085E" w:rsidP="00B71B1A">
      <w:pPr>
        <w:spacing w:before="120" w:after="240" w:line="276" w:lineRule="auto"/>
        <w:ind w:right="-285"/>
      </w:pPr>
      <w:r>
        <w:t>El cálculo y la ejecución de las fábricas se regirán por el artículo 7 del Código Técnico de la Edificación, Documento Básico: Seguridad Estructural-Fábrica.</w:t>
      </w:r>
    </w:p>
    <w:p w:rsidR="00C7085E" w:rsidRDefault="00C7085E" w:rsidP="00B71B1A">
      <w:pPr>
        <w:widowControl/>
        <w:numPr>
          <w:ilvl w:val="0"/>
          <w:numId w:val="12"/>
        </w:numPr>
        <w:spacing w:before="120" w:after="240" w:line="276" w:lineRule="auto"/>
        <w:ind w:left="714" w:right="-285" w:hanging="357"/>
        <w:rPr>
          <w:b/>
        </w:rPr>
      </w:pPr>
      <w:r>
        <w:rPr>
          <w:b/>
        </w:rPr>
        <w:t>Mampostería</w:t>
      </w:r>
    </w:p>
    <w:p w:rsidR="00C7085E" w:rsidRDefault="00C7085E" w:rsidP="00B71B1A">
      <w:pPr>
        <w:spacing w:before="120" w:after="240" w:line="276" w:lineRule="auto"/>
        <w:ind w:right="-285"/>
      </w:pPr>
      <w:r>
        <w:t>Las fábricas de mampostería se ejecutarán con la mayor trabazón posible, evitándose que queden divididas en hojas en el sentido del espesor.</w:t>
      </w:r>
    </w:p>
    <w:p w:rsidR="00C7085E" w:rsidRDefault="00C7085E" w:rsidP="00B71B1A">
      <w:pPr>
        <w:spacing w:before="120" w:after="240" w:line="276" w:lineRule="auto"/>
        <w:ind w:right="-285"/>
      </w:pPr>
      <w:r>
        <w:t>Si los mampuestos no tuvieran el suficiente cuerpo para constituir por ellos solos el espesor del muro y este tuviera necesidad de ejecutarse en dos hojas, se trabarán estas, colocando de trecho en trecho llaves o perpiaños de mucha cola que atizonen todo el grueso. Si, por el contrario, los mampuestos fueran de mucho volumen, deberán partirse para conseguir la regularización de la fábrica.</w:t>
      </w:r>
    </w:p>
    <w:p w:rsidR="00C7085E" w:rsidRDefault="00C7085E" w:rsidP="00B71B1A">
      <w:pPr>
        <w:spacing w:before="120" w:after="240" w:line="276" w:lineRule="auto"/>
        <w:ind w:right="-285"/>
      </w:pPr>
      <w:r>
        <w:t>Si el espesor del muro fuera muy grande y no pudiera atravesarse con una sola piedra, se colocarán dos o más alternadas que alcancen más de la mitad de su espesor y, en caso de que lo juzgue necesario la Dirección de Obra, se engatillarán por sus colas con hierros o abrazaderas metálicas especiales. En estos muros de gran espesor se dejarán asimismo mampuestos de resalto, de modo que formen llaves verticales que enlacen la hilada construida con la que se va a colocar encima.</w:t>
      </w:r>
    </w:p>
    <w:p w:rsidR="00C7085E" w:rsidRDefault="00C7085E" w:rsidP="00B71B1A">
      <w:pPr>
        <w:spacing w:before="120" w:after="240" w:line="276" w:lineRule="auto"/>
        <w:ind w:right="-285"/>
      </w:pPr>
      <w:r>
        <w:t>Las mismas precauciones de buena trabazón anteriormente señaladas se aplicarán indispensablemente a la ejecución de ángulos y esquinas. A este fin, se emplearán en esta parte de las fábricas las piedras de mayor tamaño de que se disponga y cuya altura corresponda a la que tenga la hilada o el banco en ejecución. Estas piedras de ángulo tendrán ligeramente labradas las dos caras que hayan de formar los paramentos del muro, y su colocación se hará alternando las juntas laterales.</w:t>
      </w:r>
    </w:p>
    <w:p w:rsidR="00C7085E" w:rsidRDefault="00C7085E" w:rsidP="00B71B1A">
      <w:pPr>
        <w:spacing w:before="120" w:after="240" w:line="276" w:lineRule="auto"/>
        <w:ind w:right="-285"/>
      </w:pPr>
      <w:r>
        <w:t>Las fábricas de mampostería estarán perfectamente aplomadas y con sus aristas verticales, debiéndose emplear en su construcción la menor cantidad posible de ripios.</w:t>
      </w:r>
    </w:p>
    <w:p w:rsidR="00C7085E" w:rsidRDefault="00C7085E" w:rsidP="00B71B1A">
      <w:pPr>
        <w:spacing w:before="120" w:after="240" w:line="276" w:lineRule="auto"/>
        <w:ind w:right="-285"/>
      </w:pPr>
      <w:r>
        <w:t>La mampostería concertada de paramentos habrá de serlo por hiladas horizontales y con la piedra desbastada a pico grueso por todas sus caras. Las líneas de juntas verticales deberán ser alternadas y en ningún caso habrá, entre la junta de dos hiladas contiguas, una distancia inferior a veinte centímetros (20 cm). La superficie de la cara de paramentos habrá de ser de forma aproximadamente rectangular, siendo el espesor máximo admitido en las juntas de dos centímetros (2 cm).</w:t>
      </w:r>
    </w:p>
    <w:p w:rsidR="00C7085E" w:rsidRDefault="00C7085E" w:rsidP="00B71B1A">
      <w:pPr>
        <w:spacing w:before="120" w:after="240" w:line="276" w:lineRule="auto"/>
        <w:ind w:right="-285"/>
      </w:pPr>
      <w:r>
        <w:t>Las juntas deberán estar sin falta de mortero y apretado para que el relleno sea completo en profundidad.</w:t>
      </w:r>
    </w:p>
    <w:p w:rsidR="00C7085E" w:rsidRDefault="00C7085E" w:rsidP="00B71B1A">
      <w:pPr>
        <w:spacing w:before="120" w:after="240" w:line="276" w:lineRule="auto"/>
        <w:ind w:right="-285"/>
      </w:pPr>
      <w:r>
        <w:t xml:space="preserve">Los mampuestos se colocarán en su primera hilada sobre tortada de mortero de dos o tres centímetros (2 ó 3 cm) de espesor, y previa limpieza y riego del asiento, regándose también los mampuestos si fuera necesario. Se procederá primero a sentar los mampuestos de los dos paramentos, colocándose después los principales mampuestos de relleno a baño de mortero, bien ligados entre sí, acuñados con ripio, pero cuidando de la perfecta trabazón </w:t>
      </w:r>
      <w:r>
        <w:lastRenderedPageBreak/>
        <w:t>indicada en los párrafos anteriores. En los muros de poco espesor se enrasarán todas las hiladas y se procurará guardar la horizontalidad perfectamente. En el aparejo no deben concurrir más de tres aristas de mampuestos en un solo vértice.</w:t>
      </w:r>
    </w:p>
    <w:p w:rsidR="00C7085E" w:rsidRDefault="00C7085E" w:rsidP="00B71B1A">
      <w:pPr>
        <w:spacing w:before="120" w:after="240" w:line="276" w:lineRule="auto"/>
        <w:ind w:right="-285"/>
      </w:pPr>
      <w:r>
        <w:t>En la mampostería careada las piedras del paramento exterior se prepararán de tal modo que las caras visibles tengan forma poligonal que llene el hueco que dejen los mampuestos contiguos. Estos polígonos podrán ser o no regulares, pero queda prohibida la concurrencia de cuatro aristas de mampuestos en un mismo vértice.</w:t>
      </w:r>
    </w:p>
    <w:p w:rsidR="00C7085E" w:rsidRDefault="00C7085E" w:rsidP="00B71B1A">
      <w:pPr>
        <w:spacing w:before="120" w:after="240" w:line="276" w:lineRule="auto"/>
        <w:ind w:right="-285"/>
      </w:pPr>
      <w:r>
        <w:t>La trabazón tendrá piedras de atizonado completo en un veinticinco por ciento (25%) del total de las piedras.</w:t>
      </w:r>
    </w:p>
    <w:p w:rsidR="00C7085E" w:rsidRDefault="00C7085E" w:rsidP="00B71B1A">
      <w:pPr>
        <w:keepNext/>
        <w:widowControl/>
        <w:numPr>
          <w:ilvl w:val="0"/>
          <w:numId w:val="12"/>
        </w:numPr>
        <w:spacing w:before="120" w:after="240" w:line="276" w:lineRule="auto"/>
        <w:ind w:left="714" w:right="-285" w:hanging="357"/>
        <w:rPr>
          <w:b/>
        </w:rPr>
      </w:pPr>
      <w:r>
        <w:rPr>
          <w:b/>
        </w:rPr>
        <w:t>Cubiertas</w:t>
      </w:r>
    </w:p>
    <w:p w:rsidR="00C7085E" w:rsidRDefault="00C7085E" w:rsidP="00B71B1A">
      <w:pPr>
        <w:spacing w:before="120" w:after="240" w:line="276" w:lineRule="auto"/>
        <w:ind w:right="-285"/>
      </w:pPr>
      <w:r>
        <w:t>Las cubiertas deberán ejecutarse cumpliendo en todo momento las prescripciones establecidas en el apartado 2.4 del Documento Básico HS: Salubridad del Código Técnico de la Edificación (CTE).</w:t>
      </w:r>
    </w:p>
    <w:p w:rsidR="00C7085E" w:rsidRDefault="00C7085E" w:rsidP="00B71B1A">
      <w:pPr>
        <w:keepNext/>
        <w:widowControl/>
        <w:numPr>
          <w:ilvl w:val="0"/>
          <w:numId w:val="12"/>
        </w:numPr>
        <w:spacing w:before="120" w:after="240" w:line="276" w:lineRule="auto"/>
        <w:ind w:left="714" w:right="-285" w:hanging="357"/>
        <w:rPr>
          <w:b/>
        </w:rPr>
      </w:pPr>
      <w:r>
        <w:rPr>
          <w:b/>
        </w:rPr>
        <w:t>Paneles prefabricados de hormigón</w:t>
      </w:r>
    </w:p>
    <w:p w:rsidR="00C7085E" w:rsidRDefault="00C7085E" w:rsidP="00B71B1A">
      <w:pPr>
        <w:spacing w:before="120" w:after="240" w:line="276" w:lineRule="auto"/>
        <w:ind w:right="-285"/>
      </w:pPr>
      <w:r>
        <w:t>El panel presentará sus aristas definidas y estará exento de fisuras y coqueras que puedan afectar a sus condiciones de funcionalidad.</w:t>
      </w:r>
    </w:p>
    <w:p w:rsidR="00C7085E" w:rsidRDefault="00C7085E" w:rsidP="00B71B1A">
      <w:pPr>
        <w:spacing w:before="120" w:after="240" w:line="276" w:lineRule="auto"/>
        <w:ind w:right="-285"/>
      </w:pPr>
      <w:r>
        <w:t>Será capaz de resistir las solicitaciones derivadas de:</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Desmoldeo y levantamiento para transporte.</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Transporte.</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Izado y montaje en obra.</w:t>
      </w:r>
    </w:p>
    <w:p w:rsidR="00C7085E" w:rsidRDefault="00C7085E" w:rsidP="00B71B1A">
      <w:pPr>
        <w:spacing w:before="120" w:after="240" w:line="276" w:lineRule="auto"/>
        <w:ind w:right="-285"/>
        <w:rPr>
          <w:lang w:val="es-ES_tradnl"/>
        </w:rPr>
      </w:pPr>
      <w:r>
        <w:t>Para el izado de los paneles se utilizarán balancines, eslingas, cadenas, etc., comprobándose previamente que están en buen estado y que son adecuados para los trabajos a realizar. El fabricante indicará en su documentación técnica la forma más conveniente para la manipulación de los paneles de cerramiento.</w:t>
      </w:r>
    </w:p>
    <w:p w:rsidR="00C7085E" w:rsidRDefault="00C7085E" w:rsidP="00B71B1A">
      <w:pPr>
        <w:spacing w:before="120" w:after="240" w:line="276" w:lineRule="auto"/>
        <w:ind w:right="-285"/>
      </w:pPr>
      <w:r>
        <w:t>Durante la manipulación de los paneles se tendrá especial cuidado de que no resulten dañados, queden marcas o se vean sometidos a tensiones superiores a las máximas admisibles. Especial atención se prestará en caso de viento, utilizando todos los puntos de izado existentes en las piezas.</w:t>
      </w:r>
    </w:p>
    <w:p w:rsidR="00C7085E" w:rsidRDefault="00C7085E" w:rsidP="00B71B1A">
      <w:pPr>
        <w:spacing w:before="120" w:after="240" w:line="276" w:lineRule="auto"/>
        <w:ind w:right="-285"/>
      </w:pPr>
      <w:r>
        <w:t>Los paneles de cerramiento se almacenarán, preferentemente, verticalmente de forma que no estén en contacto directo entre ellos y se permita la libre circulación de aire para el secado.</w:t>
      </w:r>
    </w:p>
    <w:p w:rsidR="00C7085E" w:rsidRDefault="00C7085E" w:rsidP="00B71B1A">
      <w:pPr>
        <w:spacing w:before="120" w:after="240" w:line="276" w:lineRule="auto"/>
        <w:ind w:right="-285"/>
      </w:pPr>
      <w:r>
        <w:t>Las disposiciones de apoyo serán compatibles con las posibilidades resistentes del panel y estarán concebidas de forma que se evite el alabeo.</w:t>
      </w:r>
    </w:p>
    <w:p w:rsidR="00C7085E" w:rsidRDefault="00C7085E" w:rsidP="00B71B1A">
      <w:pPr>
        <w:spacing w:before="120" w:after="240" w:line="276" w:lineRule="auto"/>
        <w:ind w:right="-285"/>
      </w:pPr>
      <w:r>
        <w:t xml:space="preserve">El transporte se realizará de forma que los paneles permanezcan en una posición próxima a la vertical. Todos los paneles irán acuñados con el fin de evitar golpes o movimientos </w:t>
      </w:r>
      <w:r>
        <w:lastRenderedPageBreak/>
        <w:t>bruscos que pudieran dañarlos.</w:t>
      </w:r>
    </w:p>
    <w:p w:rsidR="00C7085E" w:rsidRDefault="00C7085E" w:rsidP="00B71B1A">
      <w:pPr>
        <w:spacing w:before="120" w:after="240" w:line="276" w:lineRule="auto"/>
        <w:ind w:right="-285"/>
      </w:pPr>
      <w:r>
        <w:t>El montaje de los paneles prefabricados de hormigón deberá realizarse conforme a lo establecido en Proyecto, y en particular con lo indicado en los planos y detalles de montaje.</w:t>
      </w:r>
    </w:p>
    <w:p w:rsidR="00C7085E" w:rsidRDefault="00C7085E" w:rsidP="00B71B1A">
      <w:pPr>
        <w:spacing w:before="120" w:after="240" w:line="276" w:lineRule="auto"/>
        <w:ind w:right="-285"/>
      </w:pPr>
      <w:r>
        <w:t>El montaje se ejecutará de la siguiente manera:</w:t>
      </w:r>
    </w:p>
    <w:p w:rsidR="00C7085E" w:rsidRDefault="00C7085E" w:rsidP="00B71B1A">
      <w:pPr>
        <w:widowControl/>
        <w:numPr>
          <w:ilvl w:val="0"/>
          <w:numId w:val="12"/>
        </w:numPr>
        <w:spacing w:before="120" w:after="240" w:line="276" w:lineRule="auto"/>
        <w:ind w:left="714" w:right="-285" w:hanging="357"/>
      </w:pPr>
      <w:r>
        <w:t>Traslado del panel a su zona de montaje</w:t>
      </w:r>
    </w:p>
    <w:p w:rsidR="00C7085E" w:rsidRDefault="00C7085E" w:rsidP="00B71B1A">
      <w:pPr>
        <w:widowControl/>
        <w:numPr>
          <w:ilvl w:val="0"/>
          <w:numId w:val="12"/>
        </w:numPr>
        <w:spacing w:before="120" w:after="240" w:line="276" w:lineRule="auto"/>
        <w:ind w:left="714" w:right="-285" w:hanging="357"/>
      </w:pPr>
      <w:r>
        <w:t>Posicionamiento</w:t>
      </w:r>
    </w:p>
    <w:p w:rsidR="00C7085E" w:rsidRDefault="00C7085E" w:rsidP="00B71B1A">
      <w:pPr>
        <w:widowControl/>
        <w:numPr>
          <w:ilvl w:val="0"/>
          <w:numId w:val="12"/>
        </w:numPr>
        <w:spacing w:before="120" w:after="240" w:line="276" w:lineRule="auto"/>
        <w:ind w:left="714" w:right="-285" w:hanging="357"/>
      </w:pPr>
      <w:r>
        <w:t>Nivelado y aplomado</w:t>
      </w:r>
    </w:p>
    <w:p w:rsidR="00C7085E" w:rsidRDefault="00C7085E" w:rsidP="00B71B1A">
      <w:pPr>
        <w:widowControl/>
        <w:numPr>
          <w:ilvl w:val="0"/>
          <w:numId w:val="12"/>
        </w:numPr>
        <w:spacing w:before="120" w:after="240" w:line="276" w:lineRule="auto"/>
        <w:ind w:left="714" w:right="-285" w:hanging="357"/>
      </w:pPr>
      <w:r>
        <w:t>Anclaje mediante soldadura o atornillado</w:t>
      </w:r>
    </w:p>
    <w:p w:rsidR="00C7085E" w:rsidRDefault="00C7085E" w:rsidP="00B71B1A">
      <w:pPr>
        <w:spacing w:before="120" w:after="240" w:line="276" w:lineRule="auto"/>
        <w:ind w:right="-285"/>
      </w:pPr>
      <w:r>
        <w:t>El sistema de sujeción de cada panel a la estructura del edificio deberá garantizar, una vez colocado éste, su estabilidad y su resistencia a las solicitaciones derivadas del viento y de las variaciones de temperatura (contracciones y dilataciones para un salto térmico de cincuenta grados centígrados (50º C).</w:t>
      </w:r>
    </w:p>
    <w:p w:rsidR="00C7085E" w:rsidRDefault="00C7085E" w:rsidP="00B71B1A">
      <w:pPr>
        <w:spacing w:before="120" w:after="240" w:line="276" w:lineRule="auto"/>
        <w:ind w:right="-285"/>
      </w:pPr>
      <w:r>
        <w:t>Puesto que las deformaciones de la estructura del edificio debido a la puesta en carga, retracción, deformaciones térmicas o movimientos diferenciales pueden originar en los paneles estados tensionales importantes, no considerados en su dimensionamiento, si se encuentran rígidamente unidos a la estructura, los sistemas de sujeción permitirán un movimiento lateral y vertical relativo entre la estructura y el panel. Si esto no fuere posible, en el dimensionamiento de los paneles se tendrán en cuenta estos posibles estados tensionales.</w:t>
      </w:r>
    </w:p>
    <w:p w:rsidR="00C7085E" w:rsidRDefault="00C7085E" w:rsidP="00B71B1A">
      <w:pPr>
        <w:spacing w:before="120" w:after="240" w:line="276" w:lineRule="auto"/>
        <w:ind w:right="-285"/>
      </w:pPr>
      <w:r>
        <w:t>El sistema de sujeción de los paneles a la estructura del edificio deberá tener en cuenta las tolerancias admisibles en la ejecución del edificio, además de las propias del panel. Para cada sistema de sujeción el fabricante indicará las tolerancias que permite el mismo en relación con el aplomado entre el elemento de fijación más saliente y cualquier otro, y con la distancia entre planos horizontales de fijación.</w:t>
      </w:r>
    </w:p>
    <w:p w:rsidR="00C7085E" w:rsidRDefault="00C7085E" w:rsidP="00B71B1A">
      <w:pPr>
        <w:spacing w:before="120" w:after="240" w:line="276" w:lineRule="auto"/>
        <w:ind w:right="-285"/>
      </w:pPr>
      <w:r>
        <w:t>No se admitirán sistemas de sujeción que fijen el panel a la estructura portante en tres o más niveles.</w:t>
      </w:r>
    </w:p>
    <w:p w:rsidR="00C7085E" w:rsidRDefault="00C7085E" w:rsidP="00B71B1A">
      <w:pPr>
        <w:spacing w:before="120" w:after="240" w:line="276" w:lineRule="auto"/>
        <w:ind w:right="-285"/>
      </w:pPr>
      <w:r>
        <w:t>El sistema de sujeción deberá tener en cuenta la compatibilidad entre los distintos elementos metálicos con respecto al ataque electro-químico causado por el contacto entre metales diferentes. Todos los elementos metálicos deberán estar protegidos contra la corrosión.</w:t>
      </w:r>
    </w:p>
    <w:p w:rsidR="00C7085E" w:rsidRDefault="00C7085E" w:rsidP="00B71B1A">
      <w:pPr>
        <w:spacing w:before="120" w:after="240" w:line="276" w:lineRule="auto"/>
        <w:ind w:right="-285"/>
      </w:pPr>
      <w:r>
        <w:t>El coeficiente de seguridad a rotura de los sistemas de sujeción será, como mínimo de siete (7).</w:t>
      </w: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Control de calidad</w:t>
      </w:r>
    </w:p>
    <w:p w:rsidR="00C7085E" w:rsidRDefault="00C7085E" w:rsidP="00B71B1A">
      <w:pPr>
        <w:widowControl/>
        <w:numPr>
          <w:ilvl w:val="0"/>
          <w:numId w:val="12"/>
        </w:numPr>
        <w:spacing w:before="120" w:after="240" w:line="276" w:lineRule="auto"/>
        <w:ind w:left="714" w:right="-285" w:hanging="357"/>
        <w:rPr>
          <w:b/>
        </w:rPr>
      </w:pPr>
      <w:r>
        <w:rPr>
          <w:b/>
        </w:rPr>
        <w:t>Generalidades</w:t>
      </w:r>
    </w:p>
    <w:p w:rsidR="00C7085E" w:rsidRDefault="00C7085E" w:rsidP="00B71B1A">
      <w:pPr>
        <w:spacing w:before="120" w:after="240" w:line="276" w:lineRule="auto"/>
        <w:ind w:right="-285"/>
        <w:rPr>
          <w:rFonts w:cs="Arial"/>
          <w:bCs/>
          <w:color w:val="000000"/>
          <w:szCs w:val="22"/>
        </w:rPr>
      </w:pPr>
      <w:r>
        <w:rPr>
          <w:rFonts w:cs="Arial"/>
          <w:bCs/>
          <w:color w:val="000000"/>
          <w:szCs w:val="22"/>
        </w:rPr>
        <w:t>El control de calidad incluirá la revisión de la documentación de los suministros, incluida la correspondiente al marcado CE cuando sea pertinente y el control mediante distintivos de calidad.</w:t>
      </w:r>
    </w:p>
    <w:p w:rsidR="00C7085E" w:rsidRDefault="00C7085E" w:rsidP="00B71B1A">
      <w:pPr>
        <w:widowControl/>
        <w:numPr>
          <w:ilvl w:val="0"/>
          <w:numId w:val="12"/>
        </w:numPr>
        <w:spacing w:before="120" w:after="240" w:line="276" w:lineRule="auto"/>
        <w:ind w:left="714" w:right="-285" w:hanging="357"/>
        <w:rPr>
          <w:b/>
        </w:rPr>
      </w:pPr>
      <w:r>
        <w:rPr>
          <w:b/>
        </w:rPr>
        <w:t>Forjado unidireccional</w:t>
      </w:r>
    </w:p>
    <w:p w:rsidR="00C7085E" w:rsidRDefault="00C7085E" w:rsidP="00B71B1A">
      <w:pPr>
        <w:spacing w:before="120" w:after="240" w:line="276" w:lineRule="auto"/>
        <w:ind w:right="-285"/>
        <w:rPr>
          <w:rFonts w:cs="Arial"/>
          <w:bCs/>
          <w:color w:val="000000"/>
          <w:szCs w:val="22"/>
        </w:rPr>
      </w:pPr>
      <w:r>
        <w:rPr>
          <w:rFonts w:cs="Arial"/>
          <w:bCs/>
          <w:color w:val="000000"/>
          <w:szCs w:val="22"/>
        </w:rPr>
        <w:t>Las viguetas no deben presentar rebabas que sean indicio de pérdidas graves de lechada, ni más de tres coqueras en una zona de diez centímetros cuadrados (10 cm</w:t>
      </w:r>
      <w:r>
        <w:rPr>
          <w:rFonts w:cs="Arial"/>
          <w:bCs/>
          <w:color w:val="000000"/>
          <w:szCs w:val="22"/>
          <w:vertAlign w:val="superscript"/>
        </w:rPr>
        <w:t>2</w:t>
      </w:r>
      <w:r>
        <w:rPr>
          <w:rFonts w:cs="Arial"/>
          <w:bCs/>
          <w:color w:val="000000"/>
          <w:szCs w:val="22"/>
        </w:rPr>
        <w:t>) de superficie, ni coquera alguna que deje vistas las armaduras.</w:t>
      </w:r>
    </w:p>
    <w:p w:rsidR="00C7085E" w:rsidRDefault="00C7085E" w:rsidP="00B71B1A">
      <w:pPr>
        <w:spacing w:before="120" w:after="240" w:line="276" w:lineRule="auto"/>
        <w:ind w:right="-285"/>
      </w:pPr>
      <w:r>
        <w:t>Tampoco presentarán superficies deslavadas o aristas descantilladas, señales de discontinuidad en el hormigón, o armaduras visibles.</w:t>
      </w:r>
    </w:p>
    <w:p w:rsidR="00C7085E" w:rsidRDefault="00C7085E" w:rsidP="00B71B1A">
      <w:pPr>
        <w:spacing w:before="120" w:after="240" w:line="276" w:lineRule="auto"/>
        <w:ind w:right="-285"/>
      </w:pPr>
      <w:r>
        <w:t>Salvo autorización de la Dirección de Obra no se aceptarán forjados con fisuras ni alabeos de más de una décima de milímetro (0,1 mm) de ancho, o con fisuras de retracción de más de dos centímetros (2 cm) de longitud.</w:t>
      </w:r>
    </w:p>
    <w:p w:rsidR="00C7085E" w:rsidRDefault="00C7085E" w:rsidP="00B71B1A">
      <w:pPr>
        <w:spacing w:before="120" w:after="240" w:line="276" w:lineRule="auto"/>
        <w:ind w:right="-285"/>
      </w:pPr>
      <w:r>
        <w:t>La contra-flecha bajo la acción del peso propio, medida en el forjado en condiciones normales de apoyo, no será superior al dos por mil (2</w:t>
      </w:r>
      <w:r>
        <w:rPr>
          <w:rFonts w:cs="Arial"/>
        </w:rPr>
        <w:t>‰</w:t>
      </w:r>
      <w:r>
        <w:t>) de la luz.</w:t>
      </w:r>
    </w:p>
    <w:p w:rsidR="00C7085E" w:rsidRDefault="00C7085E" w:rsidP="00B71B1A">
      <w:pPr>
        <w:spacing w:before="120" w:after="240" w:line="276" w:lineRule="auto"/>
        <w:ind w:right="-285"/>
      </w:pPr>
      <w:r>
        <w:t>La Dirección de Obra podrá ordenar la comprobación de las características mecánicas y, en particular, del módulo de flecha, momentos de fisuración y rotura y esfuerzo cortante de rotura, sobre un cierto número de placas de forjado.</w:t>
      </w:r>
    </w:p>
    <w:p w:rsidR="00C7085E" w:rsidRDefault="00C7085E" w:rsidP="00B71B1A">
      <w:pPr>
        <w:spacing w:before="120" w:after="240" w:line="276" w:lineRule="auto"/>
        <w:ind w:right="-285"/>
      </w:pPr>
      <w:r>
        <w:t>Se efectuará un ensayo de tipo destructivo por cada cincuenta (50) piezas fabricadas o fracción de un mismo lote, repitiéndose el ensayo con otras piezas si la primera no hubiese alcanzado las características exigidas y rechazándose el lote completo si alguno de los ensayos posteriores es negativo. Las piezas utilizadas en estos ensayos y el coste de los mismos serán por cuenta del Adjudicatario.</w:t>
      </w:r>
    </w:p>
    <w:p w:rsidR="00C7085E" w:rsidRDefault="00C7085E" w:rsidP="00B71B1A">
      <w:pPr>
        <w:keepNext/>
        <w:widowControl/>
        <w:numPr>
          <w:ilvl w:val="0"/>
          <w:numId w:val="12"/>
        </w:numPr>
        <w:spacing w:before="120" w:after="240" w:line="276" w:lineRule="auto"/>
        <w:ind w:left="714" w:right="-285" w:hanging="357"/>
        <w:rPr>
          <w:b/>
        </w:rPr>
      </w:pPr>
      <w:r>
        <w:rPr>
          <w:b/>
        </w:rPr>
        <w:t>Forjado reticular</w:t>
      </w:r>
    </w:p>
    <w:p w:rsidR="00C7085E" w:rsidRDefault="00C7085E" w:rsidP="00B71B1A">
      <w:pPr>
        <w:spacing w:before="120" w:after="240" w:line="276" w:lineRule="auto"/>
        <w:ind w:right="-285"/>
      </w:pPr>
      <w:r>
        <w:t>Se admitirán las siguientes tolerancias: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color w:val="000000"/>
        </w:rPr>
      </w:pPr>
      <w:r>
        <w:rPr>
          <w:rFonts w:ascii="Arial" w:hAnsi="Arial" w:cs="Arial"/>
          <w:color w:val="000000"/>
        </w:rPr>
        <w:t xml:space="preserve">La separación entre los ejes de los nervios del forjado será menor a tres (3) centímetros por exceso y menor a un (1) centímetro por defecto </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color w:val="000000"/>
        </w:rPr>
      </w:pPr>
      <w:r>
        <w:rPr>
          <w:rFonts w:ascii="Arial" w:hAnsi="Arial" w:cs="Arial"/>
          <w:color w:val="000000"/>
        </w:rPr>
        <w:t xml:space="preserve">La desviación de la alineación recta tendrá una tolerancia no superior a cinco milímetros por metro (5 mm /m). </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color w:val="000000"/>
        </w:rPr>
      </w:pPr>
      <w:r>
        <w:rPr>
          <w:rFonts w:ascii="Arial" w:hAnsi="Arial" w:cs="Arial"/>
          <w:color w:val="000000"/>
        </w:rPr>
        <w:t xml:space="preserve">El ancho de los nervios también respetará estos requisitos, será menor a tres (3) centímetros por exceso y menor a un (1) centímetro por defecto </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color w:val="000000"/>
        </w:rPr>
      </w:pPr>
      <w:r>
        <w:rPr>
          <w:rFonts w:ascii="Arial" w:hAnsi="Arial" w:cs="Arial"/>
          <w:color w:val="000000"/>
        </w:rPr>
        <w:t xml:space="preserve">El ancho de los nervios también respetará estos requisitos, será menor a tres centímetros (3 cm) por exceso y a un centímetro (1 cm) por defecto. </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color w:val="000000"/>
        </w:rPr>
      </w:pPr>
      <w:r>
        <w:rPr>
          <w:rFonts w:ascii="Arial" w:hAnsi="Arial" w:cs="Arial"/>
          <w:color w:val="000000"/>
        </w:rPr>
        <w:t xml:space="preserve">La planeidad de acabado después que ha endurecido el hormigón, en un lapso dentro de setenta y dos horas después del vertido de hormigón, será: </w:t>
      </w:r>
    </w:p>
    <w:p w:rsidR="00C7085E" w:rsidRDefault="00C7085E" w:rsidP="00B71B1A">
      <w:pPr>
        <w:pStyle w:val="Prrafodelista"/>
        <w:numPr>
          <w:ilvl w:val="1"/>
          <w:numId w:val="13"/>
        </w:numPr>
        <w:autoSpaceDE w:val="0"/>
        <w:autoSpaceDN w:val="0"/>
        <w:adjustRightInd w:val="0"/>
        <w:spacing w:before="120" w:after="240"/>
        <w:ind w:right="-285"/>
        <w:rPr>
          <w:rFonts w:ascii="Arial" w:hAnsi="Arial" w:cs="Arial"/>
          <w:color w:val="000000"/>
        </w:rPr>
      </w:pPr>
      <w:r>
        <w:rPr>
          <w:rFonts w:ascii="Arial" w:hAnsi="Arial" w:cs="Arial"/>
          <w:color w:val="000000"/>
        </w:rPr>
        <w:lastRenderedPageBreak/>
        <w:t xml:space="preserve">Maestreado con regla: ±8 mm. </w:t>
      </w:r>
    </w:p>
    <w:p w:rsidR="00C7085E" w:rsidRDefault="00C7085E" w:rsidP="00B71B1A">
      <w:pPr>
        <w:pStyle w:val="Prrafodelista"/>
        <w:numPr>
          <w:ilvl w:val="1"/>
          <w:numId w:val="13"/>
        </w:numPr>
        <w:autoSpaceDE w:val="0"/>
        <w:autoSpaceDN w:val="0"/>
        <w:adjustRightInd w:val="0"/>
        <w:spacing w:before="120" w:after="240"/>
        <w:ind w:right="-285"/>
        <w:rPr>
          <w:rFonts w:ascii="Arial" w:hAnsi="Arial" w:cs="Arial"/>
          <w:color w:val="000000"/>
        </w:rPr>
      </w:pPr>
      <w:r>
        <w:rPr>
          <w:rFonts w:ascii="Arial" w:hAnsi="Arial" w:cs="Arial"/>
          <w:color w:val="000000"/>
        </w:rPr>
        <w:t xml:space="preserve">Llaneado mecánico (tipo helicóptero): ±12 mm. </w:t>
      </w:r>
    </w:p>
    <w:p w:rsidR="00C7085E" w:rsidRDefault="00C7085E" w:rsidP="00B71B1A">
      <w:pPr>
        <w:spacing w:before="120" w:after="240" w:line="276" w:lineRule="auto"/>
        <w:ind w:right="-285"/>
      </w:pPr>
      <w:r>
        <w:t>Debe controlarse la resistencia de dos cubas (amasadas) para cada cien metros cúbicos (100 m</w:t>
      </w:r>
      <w:r>
        <w:rPr>
          <w:vertAlign w:val="superscript"/>
        </w:rPr>
        <w:t>3</w:t>
      </w:r>
      <w:r>
        <w:t>) o para cada mil metros cuadrados (1.000 m</w:t>
      </w:r>
      <w:r>
        <w:rPr>
          <w:vertAlign w:val="superscript"/>
        </w:rPr>
        <w:t>2</w:t>
      </w:r>
      <w:r>
        <w:t xml:space="preserve">) de superficie del forjado. </w:t>
      </w:r>
    </w:p>
    <w:p w:rsidR="00C7085E" w:rsidRDefault="00C7085E" w:rsidP="00B71B1A">
      <w:pPr>
        <w:widowControl/>
        <w:numPr>
          <w:ilvl w:val="0"/>
          <w:numId w:val="12"/>
        </w:numPr>
        <w:spacing w:before="120" w:after="240" w:line="276" w:lineRule="auto"/>
        <w:ind w:left="714" w:right="-285" w:hanging="357"/>
        <w:rPr>
          <w:b/>
        </w:rPr>
      </w:pPr>
      <w:r>
        <w:rPr>
          <w:b/>
        </w:rPr>
        <w:t>Forjados de placas alveoladas prefabricadas</w:t>
      </w:r>
    </w:p>
    <w:p w:rsidR="00C7085E" w:rsidRDefault="00C7085E" w:rsidP="00B71B1A">
      <w:pPr>
        <w:spacing w:before="120" w:after="240" w:line="276" w:lineRule="auto"/>
        <w:ind w:right="-285"/>
        <w:rPr>
          <w:rFonts w:cs="Arial"/>
          <w:bCs/>
          <w:color w:val="000000"/>
          <w:szCs w:val="22"/>
        </w:rPr>
      </w:pPr>
      <w:r>
        <w:rPr>
          <w:rFonts w:cs="Arial"/>
          <w:bCs/>
          <w:color w:val="000000"/>
          <w:szCs w:val="22"/>
        </w:rPr>
        <w:t xml:space="preserve">Para el control de calidad de los forjados de placas alveoladas prefabricadas se seguirán las prescripciones establecidas al respecto en </w:t>
      </w:r>
      <w:r>
        <w:t>la Instrucción de Hormigón Estructural (EHE).</w:t>
      </w:r>
    </w:p>
    <w:p w:rsidR="00C7085E" w:rsidRDefault="00C7085E" w:rsidP="00B71B1A">
      <w:pPr>
        <w:widowControl/>
        <w:numPr>
          <w:ilvl w:val="0"/>
          <w:numId w:val="12"/>
        </w:numPr>
        <w:spacing w:before="120" w:after="240" w:line="276" w:lineRule="auto"/>
        <w:ind w:left="714" w:right="-285" w:hanging="357"/>
        <w:rPr>
          <w:b/>
        </w:rPr>
      </w:pPr>
      <w:r>
        <w:rPr>
          <w:b/>
        </w:rPr>
        <w:t>Fábrica de ladrillos</w:t>
      </w:r>
    </w:p>
    <w:p w:rsidR="00C7085E" w:rsidRDefault="00C7085E" w:rsidP="00B71B1A">
      <w:pPr>
        <w:spacing w:before="120" w:after="240" w:line="276" w:lineRule="auto"/>
        <w:ind w:right="-285"/>
      </w:pPr>
      <w:r>
        <w:t>Las características de los ladrillos se comprobarán antes de su utilización mediante la ejecución de los ensayos cuya frecuencia y tipo se señalan a continuación, previa autorización de la Dirección de Obra.</w:t>
      </w:r>
    </w:p>
    <w:p w:rsidR="00C7085E" w:rsidRDefault="00C7085E" w:rsidP="00B71B1A">
      <w:pPr>
        <w:spacing w:before="120" w:after="240" w:line="276" w:lineRule="auto"/>
        <w:ind w:right="-285" w:firstLine="709"/>
      </w:pPr>
      <w:r>
        <w:t>Por cada 500 m</w:t>
      </w:r>
      <w:r>
        <w:rPr>
          <w:vertAlign w:val="superscript"/>
        </w:rPr>
        <w:t>2</w:t>
      </w:r>
      <w:r>
        <w:t xml:space="preserve"> de fábrica o fracción:</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Comprobación dimensional y de forma según UNE 67030</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Eflorescencia, si procede, según UNE 67029</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Heladicidad, si procede, según UNE 67028</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Absorción de agua según UNE 67027</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Succión según UNE-EN 772-11</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Resistencia a  compresión según UNE-EN 772-1</w:t>
      </w:r>
    </w:p>
    <w:p w:rsidR="00C7085E" w:rsidRDefault="00C7085E" w:rsidP="00B71B1A">
      <w:pPr>
        <w:spacing w:before="120" w:after="240" w:line="276" w:lineRule="auto"/>
        <w:ind w:right="-285"/>
        <w:rPr>
          <w:lang w:val="es-ES_tradnl"/>
        </w:rPr>
      </w:pPr>
      <w:r>
        <w:t>Para el control de la ejecución se seguirá el artículo 8 del Código Técnico de la Edificación, Documento Básico: Seguridad Estructural-Fábrica.</w:t>
      </w:r>
    </w:p>
    <w:p w:rsidR="00C7085E" w:rsidRDefault="00C7085E" w:rsidP="00B71B1A">
      <w:pPr>
        <w:widowControl/>
        <w:numPr>
          <w:ilvl w:val="0"/>
          <w:numId w:val="12"/>
        </w:numPr>
        <w:spacing w:before="120" w:after="240" w:line="276" w:lineRule="auto"/>
        <w:ind w:left="714" w:right="-285" w:hanging="357"/>
        <w:rPr>
          <w:b/>
        </w:rPr>
      </w:pPr>
      <w:r>
        <w:rPr>
          <w:b/>
        </w:rPr>
        <w:t>Fábrica de bloques</w:t>
      </w:r>
    </w:p>
    <w:p w:rsidR="00C7085E" w:rsidRDefault="00C7085E" w:rsidP="00B71B1A">
      <w:pPr>
        <w:spacing w:before="120" w:after="240" w:line="276" w:lineRule="auto"/>
        <w:ind w:right="-285"/>
      </w:pPr>
      <w:r>
        <w:t>Para el control de la ejecución se seguirá el artículo 8 del Código Técnico de la Edificación, Documento Básico: Seguridad Estructural-Fábrica.</w:t>
      </w:r>
    </w:p>
    <w:p w:rsidR="00C7085E" w:rsidRDefault="00C7085E" w:rsidP="00B71B1A">
      <w:pPr>
        <w:widowControl/>
        <w:numPr>
          <w:ilvl w:val="0"/>
          <w:numId w:val="12"/>
        </w:numPr>
        <w:spacing w:before="120" w:after="240" w:line="276" w:lineRule="auto"/>
        <w:ind w:left="714" w:right="-285" w:hanging="357"/>
        <w:rPr>
          <w:b/>
        </w:rPr>
      </w:pPr>
      <w:r>
        <w:rPr>
          <w:b/>
        </w:rPr>
        <w:t>Mampostería</w:t>
      </w:r>
    </w:p>
    <w:p w:rsidR="00C7085E" w:rsidRDefault="00C7085E" w:rsidP="00B71B1A">
      <w:pPr>
        <w:spacing w:before="120" w:after="240" w:line="276" w:lineRule="auto"/>
        <w:ind w:right="-285"/>
      </w:pPr>
      <w:r>
        <w:t>Las tolerancias de desvío en las caras de asiento respecto de un plano, y en juntas, respecto de la línea recta, no excederán de quince milímetros (15 mm).</w:t>
      </w:r>
    </w:p>
    <w:p w:rsidR="00C7085E" w:rsidRDefault="00C7085E" w:rsidP="00B71B1A">
      <w:pPr>
        <w:widowControl/>
        <w:numPr>
          <w:ilvl w:val="0"/>
          <w:numId w:val="12"/>
        </w:numPr>
        <w:spacing w:before="120" w:after="240" w:line="276" w:lineRule="auto"/>
        <w:ind w:left="714" w:right="-285" w:hanging="357"/>
        <w:rPr>
          <w:b/>
        </w:rPr>
      </w:pPr>
      <w:r>
        <w:rPr>
          <w:b/>
        </w:rPr>
        <w:t>Cubiertas</w:t>
      </w:r>
    </w:p>
    <w:p w:rsidR="00C7085E" w:rsidRDefault="00C7085E" w:rsidP="00B71B1A">
      <w:pPr>
        <w:spacing w:before="120" w:after="240" w:line="276" w:lineRule="auto"/>
        <w:ind w:right="-285"/>
      </w:pPr>
      <w:r>
        <w:t>Para el control de calidad de la recepción de los materiales y de la ejecución de las cubiertas se seguirán las prescripciones establecidas en el Código Técnico de la Edificación.</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rPr>
          <w:color w:val="000000"/>
        </w:rPr>
      </w:pPr>
      <w:r>
        <w:rPr>
          <w:color w:val="000000"/>
        </w:rPr>
        <w:t>Se verificará que no haya irregularidades ni que se hayan formado burbujas en la superficie impermeabilizada: tolerancia: menor o igual a cinco (5) milímetros.</w:t>
      </w:r>
    </w:p>
    <w:p w:rsidR="00C7085E" w:rsidRDefault="00C7085E" w:rsidP="00B71B1A">
      <w:pPr>
        <w:spacing w:before="120" w:after="240" w:line="276" w:lineRule="auto"/>
        <w:ind w:right="-285"/>
        <w:rPr>
          <w:color w:val="000000"/>
        </w:rPr>
      </w:pPr>
      <w:r>
        <w:rPr>
          <w:color w:val="000000"/>
        </w:rPr>
        <w:lastRenderedPageBreak/>
        <w:t>La prueba que se expone a continuación está destinada a comprobar el funcionamiento de la solución impermeabilizante dispuesta en una cubierta plana. El ensayo considerado como prueba de servicio, se fundamenta en la detección de posibles humedades cuando la cubierta se inunda durante un determinado período de tiempo.</w:t>
      </w:r>
    </w:p>
    <w:p w:rsidR="00C7085E" w:rsidRDefault="00C7085E" w:rsidP="00B71B1A">
      <w:pPr>
        <w:spacing w:before="120" w:after="240" w:line="276" w:lineRule="auto"/>
        <w:ind w:right="-285"/>
        <w:rPr>
          <w:color w:val="000000"/>
        </w:rPr>
      </w:pPr>
      <w:r>
        <w:rPr>
          <w:color w:val="000000"/>
        </w:rPr>
        <w:t xml:space="preserve">Una vez terminado el sistema de impermeabilización se procede a efectuar la obstrucción de los desagües. </w:t>
      </w:r>
      <w:r>
        <w:t>Los puntos de desagüe tienen que estar conectados a la red o canalizados a un punto de evacuación suficiente y que no presente ningún tipo de riesgo de inundación de paredes sensibles de la obra.</w:t>
      </w:r>
    </w:p>
    <w:p w:rsidR="00C7085E" w:rsidRDefault="00C7085E" w:rsidP="00B71B1A">
      <w:pPr>
        <w:spacing w:before="120" w:after="240" w:line="276" w:lineRule="auto"/>
        <w:ind w:right="-285"/>
      </w:pPr>
      <w:r>
        <w:t>Acto seguido se llena la cubierta con agua hasta llegar a un nivel de cinco centímetros (5 cm), aproximadamente, por debajo del punto más alto, del encuentro más bajo, de la impermeabilización con paramentos.</w:t>
      </w:r>
    </w:p>
    <w:p w:rsidR="00C7085E" w:rsidRDefault="00C7085E" w:rsidP="00B71B1A">
      <w:pPr>
        <w:spacing w:before="120" w:after="240" w:line="276" w:lineRule="auto"/>
        <w:ind w:right="-285"/>
      </w:pPr>
      <w:r>
        <w:t xml:space="preserve">Se mantiene la inundación y el nivel indicado durante veinticuatro horas, como mínimo. </w:t>
      </w:r>
    </w:p>
    <w:p w:rsidR="00C7085E" w:rsidRDefault="00C7085E" w:rsidP="00B71B1A">
      <w:pPr>
        <w:spacing w:before="120" w:after="240" w:line="276" w:lineRule="auto"/>
        <w:ind w:right="-285"/>
      </w:pPr>
      <w:r>
        <w:t>Pasado dicho periodo se procede a un minucioso examen de la parte inferior del forjado donde está situada la cubierta, para observar la posible presencia de puntos de filtración o pérdida de agua. Hay que fijarse especialmente en puntos singulares como desagües, encuentro con muros, pilares, juntas, etc.</w:t>
      </w:r>
    </w:p>
    <w:p w:rsidR="00C7085E" w:rsidRDefault="00C7085E" w:rsidP="00B71B1A">
      <w:pPr>
        <w:spacing w:before="120" w:after="240" w:line="276" w:lineRule="auto"/>
        <w:ind w:right="-285"/>
      </w:pPr>
      <w:r>
        <w:t>Una vez efectuada la inspección se procederá a vaciar la zona inundada.</w:t>
      </w:r>
    </w:p>
    <w:p w:rsidR="00C7085E" w:rsidRDefault="00C7085E" w:rsidP="00B71B1A">
      <w:pPr>
        <w:spacing w:before="120" w:after="240" w:line="276" w:lineRule="auto"/>
        <w:ind w:right="-285"/>
      </w:pPr>
      <w:r>
        <w:t>En cubiertas en las que no sea posible la inundación, se procede a la aplicación de un riego continuo, en la superficie, en un espacio de tiempo no inferior a las cuarenta y ocho horas.</w:t>
      </w:r>
    </w:p>
    <w:p w:rsidR="00C7085E" w:rsidRDefault="00C7085E" w:rsidP="00B71B1A">
      <w:pPr>
        <w:keepNext/>
        <w:keepLines/>
        <w:widowControl/>
        <w:numPr>
          <w:ilvl w:val="0"/>
          <w:numId w:val="12"/>
        </w:numPr>
        <w:spacing w:before="120" w:after="240" w:line="276" w:lineRule="auto"/>
        <w:ind w:left="714" w:right="-285" w:hanging="357"/>
        <w:rPr>
          <w:b/>
        </w:rPr>
      </w:pPr>
      <w:r>
        <w:rPr>
          <w:b/>
        </w:rPr>
        <w:t>Paneles prefabricados de hormigón</w:t>
      </w:r>
    </w:p>
    <w:p w:rsidR="00C7085E" w:rsidRDefault="00C7085E" w:rsidP="00B71B1A">
      <w:pPr>
        <w:keepNext/>
        <w:keepLines/>
        <w:spacing w:before="120" w:after="240" w:line="276" w:lineRule="auto"/>
        <w:ind w:right="-285"/>
        <w:rPr>
          <w:u w:val="single"/>
        </w:rPr>
      </w:pPr>
      <w:r>
        <w:rPr>
          <w:u w:val="single"/>
        </w:rPr>
        <w:t>Control de la fabricación y de la ejecución</w:t>
      </w:r>
    </w:p>
    <w:p w:rsidR="00C7085E" w:rsidRDefault="00C7085E" w:rsidP="00B71B1A">
      <w:pPr>
        <w:keepNext/>
        <w:keepLines/>
        <w:spacing w:before="120" w:after="240" w:line="276" w:lineRule="auto"/>
        <w:ind w:right="-285"/>
      </w:pPr>
      <w:r>
        <w:t>El Adjudicatario deberá presentar los certificados de control de calidad de las materias primas y del producto terminado.</w:t>
      </w:r>
    </w:p>
    <w:p w:rsidR="00C7085E" w:rsidRDefault="00C7085E" w:rsidP="00B71B1A">
      <w:pPr>
        <w:spacing w:before="120" w:after="240" w:line="276" w:lineRule="auto"/>
        <w:ind w:right="-285"/>
      </w:pPr>
      <w:r>
        <w:t>Durante la fabricación se llevará un control sistemático de la consistencia del hormigón utilizado y de la resistencia del hormigón a compresión con el fin de comprobar la homogeneidad de las masas.</w:t>
      </w:r>
    </w:p>
    <w:p w:rsidR="00C7085E" w:rsidRDefault="00C7085E" w:rsidP="00B71B1A">
      <w:pPr>
        <w:spacing w:before="120" w:after="240" w:line="276" w:lineRule="auto"/>
        <w:ind w:right="-285"/>
      </w:pPr>
      <w:r>
        <w:t>Se realizará también un control de los moldes de forma que las piezas fabricadas coincidan, dentro de las tolerancias previstas, con las teóricas proyectadas.</w:t>
      </w:r>
    </w:p>
    <w:p w:rsidR="00C7085E" w:rsidRDefault="00C7085E" w:rsidP="00B71B1A">
      <w:pPr>
        <w:spacing w:before="120" w:after="240" w:line="276" w:lineRule="auto"/>
        <w:ind w:right="-285"/>
      </w:pPr>
      <w:r>
        <w:t>Los ensayos y verificaciones a que podrán ser sometidos los paneles de hormigón con el fin de comprobar las características exigidas son:</w:t>
      </w:r>
    </w:p>
    <w:p w:rsidR="00C7085E" w:rsidRDefault="00C7085E" w:rsidP="00B71B1A">
      <w:pPr>
        <w:widowControl/>
        <w:numPr>
          <w:ilvl w:val="0"/>
          <w:numId w:val="12"/>
        </w:numPr>
        <w:spacing w:before="120" w:after="240" w:line="276" w:lineRule="auto"/>
        <w:ind w:left="714" w:right="-285" w:hanging="357"/>
      </w:pPr>
      <w:r>
        <w:t>Comprobación de aspecto</w:t>
      </w:r>
    </w:p>
    <w:p w:rsidR="00C7085E" w:rsidRDefault="00C7085E" w:rsidP="00B71B1A">
      <w:pPr>
        <w:widowControl/>
        <w:numPr>
          <w:ilvl w:val="0"/>
          <w:numId w:val="12"/>
        </w:numPr>
        <w:spacing w:before="120" w:after="240" w:line="276" w:lineRule="auto"/>
        <w:ind w:left="714" w:right="-285" w:hanging="357"/>
      </w:pPr>
      <w:r>
        <w:t>Comprobación geométrica</w:t>
      </w:r>
    </w:p>
    <w:p w:rsidR="00C7085E" w:rsidRDefault="00C7085E" w:rsidP="00B71B1A">
      <w:pPr>
        <w:widowControl/>
        <w:numPr>
          <w:ilvl w:val="0"/>
          <w:numId w:val="12"/>
        </w:numPr>
        <w:spacing w:before="120" w:after="240" w:line="276" w:lineRule="auto"/>
        <w:ind w:left="714" w:right="-285" w:hanging="357"/>
      </w:pPr>
      <w:r>
        <w:t>Elementos de fijación</w:t>
      </w:r>
    </w:p>
    <w:p w:rsidR="00C7085E" w:rsidRDefault="00C7085E" w:rsidP="00B71B1A">
      <w:pPr>
        <w:widowControl/>
        <w:numPr>
          <w:ilvl w:val="0"/>
          <w:numId w:val="12"/>
        </w:numPr>
        <w:spacing w:before="120" w:after="240" w:line="276" w:lineRule="auto"/>
        <w:ind w:left="714" w:right="-285" w:hanging="357"/>
      </w:pPr>
      <w:r>
        <w:lastRenderedPageBreak/>
        <w:t>Resistencia de juntas</w:t>
      </w:r>
    </w:p>
    <w:p w:rsidR="00C7085E" w:rsidRDefault="00C7085E" w:rsidP="00B71B1A">
      <w:pPr>
        <w:spacing w:before="120" w:after="240" w:line="276" w:lineRule="auto"/>
        <w:ind w:right="-285"/>
      </w:pPr>
      <w:r>
        <w:t>Los métodos de ensayo y comprobación de las características anteriores se realizarán según lo especificado en las "Recomendaciones Internacionales unificadas para el cálculo y la ejecución de las estructuras formadas por la unión de paneles de gran tamaño".</w:t>
      </w:r>
    </w:p>
    <w:p w:rsidR="00C7085E" w:rsidRDefault="00C7085E" w:rsidP="00B71B1A">
      <w:pPr>
        <w:spacing w:before="120" w:after="240" w:line="276" w:lineRule="auto"/>
        <w:ind w:right="-285"/>
      </w:pPr>
      <w:r>
        <w:t>Cuando el material llegue a obra con Certificado de Origen Industrial que acredite el cumplimiento de las condiciones exigidas, su recepción podrá realizarse comprobando únicamente sus características aparentes.</w:t>
      </w:r>
    </w:p>
    <w:p w:rsidR="00C7085E" w:rsidRDefault="00C7085E" w:rsidP="00B71B1A">
      <w:pPr>
        <w:spacing w:before="120" w:after="240" w:line="276" w:lineRule="auto"/>
        <w:ind w:right="-285"/>
      </w:pPr>
      <w:r>
        <w:t>Queda, en todo caso, a criterio de la Dirección de Obra la clasificación del material en lotes de control y la decisión sobre los ensayos de recepción a realizar.</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t>Las tolerancias admisibles respecto a la longitud y altura nominales, así como la desviación de la planeidad, serán las que figuran en el siguiente cuadro: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27"/>
        <w:gridCol w:w="1834"/>
        <w:gridCol w:w="2008"/>
      </w:tblGrid>
      <w:tr w:rsidR="00C7085E" w:rsidTr="00C7085E">
        <w:trPr>
          <w:jc w:val="center"/>
        </w:trPr>
        <w:tc>
          <w:tcPr>
            <w:tcW w:w="2527"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rPr>
                <w:b/>
              </w:rPr>
            </w:pPr>
            <w:r>
              <w:rPr>
                <w:b/>
              </w:rPr>
              <w:t>Altura o longitud</w:t>
            </w:r>
          </w:p>
        </w:tc>
        <w:tc>
          <w:tcPr>
            <w:tcW w:w="1834"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rPr>
                <w:b/>
              </w:rPr>
            </w:pPr>
            <w:r>
              <w:rPr>
                <w:b/>
              </w:rPr>
              <w:t>Tolerancia</w:t>
            </w:r>
          </w:p>
          <w:p w:rsidR="00C7085E" w:rsidRDefault="00C7085E" w:rsidP="00B71B1A">
            <w:pPr>
              <w:spacing w:before="120" w:after="240" w:line="276" w:lineRule="auto"/>
              <w:ind w:right="-285"/>
              <w:jc w:val="center"/>
              <w:rPr>
                <w:b/>
              </w:rPr>
            </w:pPr>
            <w:r>
              <w:rPr>
                <w:b/>
              </w:rPr>
              <w:t>(mm)</w:t>
            </w:r>
          </w:p>
        </w:tc>
        <w:tc>
          <w:tcPr>
            <w:tcW w:w="2008"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rPr>
                <w:b/>
              </w:rPr>
            </w:pPr>
            <w:r>
              <w:rPr>
                <w:b/>
              </w:rPr>
              <w:t>Desv. Plan.</w:t>
            </w:r>
          </w:p>
          <w:p w:rsidR="00C7085E" w:rsidRDefault="00C7085E" w:rsidP="00B71B1A">
            <w:pPr>
              <w:spacing w:before="120" w:after="240" w:line="276" w:lineRule="auto"/>
              <w:ind w:right="-285"/>
              <w:jc w:val="center"/>
              <w:rPr>
                <w:b/>
              </w:rPr>
            </w:pPr>
            <w:r>
              <w:rPr>
                <w:b/>
              </w:rPr>
              <w:t>(mm)</w:t>
            </w:r>
          </w:p>
        </w:tc>
      </w:tr>
      <w:tr w:rsidR="00C7085E" w:rsidTr="00C7085E">
        <w:trPr>
          <w:jc w:val="center"/>
        </w:trPr>
        <w:tc>
          <w:tcPr>
            <w:tcW w:w="2527"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Hasta 2</w:t>
            </w:r>
          </w:p>
        </w:tc>
        <w:tc>
          <w:tcPr>
            <w:tcW w:w="1834"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+0 / -3</w:t>
            </w:r>
          </w:p>
        </w:tc>
        <w:tc>
          <w:tcPr>
            <w:tcW w:w="2008"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6</w:t>
            </w:r>
          </w:p>
        </w:tc>
      </w:tr>
      <w:tr w:rsidR="00C7085E" w:rsidTr="00C7085E">
        <w:trPr>
          <w:jc w:val="center"/>
        </w:trPr>
        <w:tc>
          <w:tcPr>
            <w:tcW w:w="2527"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De 2 a 3</w:t>
            </w:r>
          </w:p>
        </w:tc>
        <w:tc>
          <w:tcPr>
            <w:tcW w:w="1834"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+0 / -6</w:t>
            </w:r>
          </w:p>
        </w:tc>
        <w:tc>
          <w:tcPr>
            <w:tcW w:w="2008"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8</w:t>
            </w:r>
          </w:p>
        </w:tc>
      </w:tr>
      <w:tr w:rsidR="00C7085E" w:rsidTr="00C7085E">
        <w:trPr>
          <w:jc w:val="center"/>
        </w:trPr>
        <w:tc>
          <w:tcPr>
            <w:tcW w:w="2527"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De 3 a 4,5</w:t>
            </w:r>
          </w:p>
        </w:tc>
        <w:tc>
          <w:tcPr>
            <w:tcW w:w="1834"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+0 / -9</w:t>
            </w:r>
          </w:p>
        </w:tc>
        <w:tc>
          <w:tcPr>
            <w:tcW w:w="2008"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10</w:t>
            </w:r>
          </w:p>
        </w:tc>
      </w:tr>
      <w:tr w:rsidR="00C7085E" w:rsidTr="00C7085E">
        <w:trPr>
          <w:jc w:val="center"/>
        </w:trPr>
        <w:tc>
          <w:tcPr>
            <w:tcW w:w="2527"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De 4,5 a 6</w:t>
            </w:r>
          </w:p>
        </w:tc>
        <w:tc>
          <w:tcPr>
            <w:tcW w:w="1834"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+0 / -12</w:t>
            </w:r>
          </w:p>
        </w:tc>
        <w:tc>
          <w:tcPr>
            <w:tcW w:w="2008"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12</w:t>
            </w:r>
          </w:p>
        </w:tc>
      </w:tr>
      <w:tr w:rsidR="00C7085E" w:rsidTr="00C7085E">
        <w:trPr>
          <w:jc w:val="center"/>
        </w:trPr>
        <w:tc>
          <w:tcPr>
            <w:tcW w:w="2527"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Por cada 6 m adicionales</w:t>
            </w:r>
          </w:p>
        </w:tc>
        <w:tc>
          <w:tcPr>
            <w:tcW w:w="1834" w:type="dxa"/>
            <w:tcBorders>
              <w:top w:val="single" w:sz="4" w:space="0" w:color="auto"/>
              <w:left w:val="single" w:sz="4" w:space="0" w:color="auto"/>
              <w:bottom w:val="single" w:sz="4" w:space="0" w:color="auto"/>
              <w:right w:val="single" w:sz="4" w:space="0" w:color="auto"/>
            </w:tcBorders>
            <w:vAlign w:val="center"/>
            <w:hideMark/>
          </w:tcPr>
          <w:p w:rsidR="00C7085E" w:rsidRDefault="00C7085E" w:rsidP="00B71B1A">
            <w:pPr>
              <w:spacing w:before="120" w:after="240" w:line="276" w:lineRule="auto"/>
              <w:ind w:right="-285"/>
              <w:jc w:val="center"/>
            </w:pPr>
            <w:r>
              <w:t>+0 / -6</w:t>
            </w:r>
          </w:p>
        </w:tc>
        <w:tc>
          <w:tcPr>
            <w:tcW w:w="2008" w:type="dxa"/>
            <w:tcBorders>
              <w:top w:val="single" w:sz="4" w:space="0" w:color="auto"/>
              <w:left w:val="single" w:sz="4" w:space="0" w:color="auto"/>
              <w:bottom w:val="single" w:sz="4" w:space="0" w:color="auto"/>
              <w:right w:val="single" w:sz="4" w:space="0" w:color="auto"/>
            </w:tcBorders>
            <w:vAlign w:val="center"/>
          </w:tcPr>
          <w:p w:rsidR="00C7085E" w:rsidRDefault="00C7085E" w:rsidP="00B71B1A">
            <w:pPr>
              <w:spacing w:before="120" w:after="240" w:line="276" w:lineRule="auto"/>
              <w:ind w:right="-285"/>
              <w:jc w:val="center"/>
            </w:pPr>
          </w:p>
        </w:tc>
      </w:tr>
    </w:tbl>
    <w:p w:rsidR="00C7085E" w:rsidRDefault="00C7085E" w:rsidP="00B71B1A">
      <w:pPr>
        <w:pStyle w:val="Tabla"/>
        <w:spacing w:before="120" w:line="276" w:lineRule="auto"/>
        <w:ind w:right="-285"/>
      </w:pPr>
      <w:r>
        <w:t xml:space="preserve">Tolerancias admisibles </w:t>
      </w:r>
    </w:p>
    <w:p w:rsidR="00C7085E" w:rsidRDefault="00C7085E" w:rsidP="00B71B1A">
      <w:pPr>
        <w:spacing w:before="120" w:after="240" w:line="276" w:lineRule="auto"/>
        <w:ind w:right="-285"/>
      </w:pPr>
      <w:r>
        <w:t>La tolerancia respecto del espesor nominal total será de cinco milímetros en más o en menos (</w:t>
      </w:r>
      <w:r>
        <w:sym w:font="Symbol" w:char="F0B1"/>
      </w:r>
      <w:r>
        <w:t>5 mm).</w:t>
      </w:r>
    </w:p>
    <w:p w:rsidR="00C7085E" w:rsidRDefault="00C7085E" w:rsidP="00B71B1A">
      <w:pPr>
        <w:spacing w:before="120" w:after="240" w:line="276" w:lineRule="auto"/>
        <w:ind w:right="-285"/>
      </w:pPr>
      <w:r>
        <w:t>Las tolerancias en la escuadra, medida como la desviación respecto de la escuadra del lado menor que confluye en la arista, se ajustarán a los valores siguientes:</w:t>
      </w:r>
    </w:p>
    <w:p w:rsidR="0071105C" w:rsidRDefault="0071105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4A0" w:firstRow="1" w:lastRow="0" w:firstColumn="1" w:lastColumn="0" w:noHBand="0" w:noVBand="1"/>
      </w:tblPr>
      <w:tblGrid>
        <w:gridCol w:w="3260"/>
        <w:gridCol w:w="3049"/>
      </w:tblGrid>
      <w:tr w:rsidR="00C7085E" w:rsidTr="00C7085E">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rPr>
                <w:b/>
              </w:rPr>
            </w:pPr>
            <w:r>
              <w:rPr>
                <w:b/>
              </w:rPr>
              <w:lastRenderedPageBreak/>
              <w:br w:type="column"/>
              <w:t>Longitud del lado menor (m)</w:t>
            </w:r>
          </w:p>
        </w:tc>
        <w:tc>
          <w:tcPr>
            <w:tcW w:w="3049"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rPr>
                <w:b/>
              </w:rPr>
            </w:pPr>
            <w:r>
              <w:rPr>
                <w:b/>
              </w:rPr>
              <w:t>Tolerancia escuadra (mm)</w:t>
            </w:r>
          </w:p>
        </w:tc>
      </w:tr>
      <w:tr w:rsidR="00C7085E" w:rsidTr="00C7085E">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Menor o igual que 1</w:t>
            </w:r>
          </w:p>
        </w:tc>
        <w:tc>
          <w:tcPr>
            <w:tcW w:w="3049"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3</w:t>
            </w:r>
          </w:p>
        </w:tc>
      </w:tr>
      <w:tr w:rsidR="00C7085E" w:rsidTr="00C7085E">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Entre 1 y 2</w:t>
            </w:r>
          </w:p>
        </w:tc>
        <w:tc>
          <w:tcPr>
            <w:tcW w:w="3049"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5</w:t>
            </w:r>
          </w:p>
        </w:tc>
      </w:tr>
      <w:tr w:rsidR="00C7085E" w:rsidTr="00C7085E">
        <w:trPr>
          <w:cantSplit/>
          <w:jc w:val="center"/>
        </w:trPr>
        <w:tc>
          <w:tcPr>
            <w:tcW w:w="3260"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Mayor que 2</w:t>
            </w:r>
          </w:p>
        </w:tc>
        <w:tc>
          <w:tcPr>
            <w:tcW w:w="3049"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6</w:t>
            </w:r>
          </w:p>
        </w:tc>
      </w:tr>
    </w:tbl>
    <w:p w:rsidR="00C7085E" w:rsidRDefault="00C7085E" w:rsidP="00B71B1A">
      <w:pPr>
        <w:pStyle w:val="Tabla"/>
        <w:spacing w:before="120" w:line="276" w:lineRule="auto"/>
        <w:ind w:right="-285"/>
      </w:pPr>
      <w:r>
        <w:t>Tolerancias admisibles en la escuadra</w:t>
      </w:r>
    </w:p>
    <w:p w:rsidR="00C7085E" w:rsidRDefault="00C7085E" w:rsidP="00B71B1A">
      <w:pPr>
        <w:spacing w:before="120" w:after="240" w:line="276" w:lineRule="auto"/>
        <w:ind w:right="-285"/>
      </w:pPr>
      <w:r>
        <w:t>Las tolerancias de alabeo, medido como la mayor distancia que puede separar una arista del plano definido por las otras tres, se ajustarán a los valores siguientes: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4A0" w:firstRow="1" w:lastRow="0" w:firstColumn="1" w:lastColumn="0" w:noHBand="0" w:noVBand="1"/>
      </w:tblPr>
      <w:tblGrid>
        <w:gridCol w:w="3402"/>
        <w:gridCol w:w="2978"/>
      </w:tblGrid>
      <w:tr w:rsidR="00C7085E" w:rsidTr="00C7085E">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rPr>
                <w:b/>
              </w:rPr>
            </w:pPr>
            <w:r>
              <w:rPr>
                <w:b/>
              </w:rPr>
              <w:t>Longitud del lado mayor (m)</w:t>
            </w:r>
          </w:p>
        </w:tc>
        <w:tc>
          <w:tcPr>
            <w:tcW w:w="2978"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rPr>
                <w:b/>
              </w:rPr>
            </w:pPr>
            <w:r>
              <w:rPr>
                <w:b/>
              </w:rPr>
              <w:t>Tolerancia alabeo (mm)</w:t>
            </w:r>
          </w:p>
        </w:tc>
      </w:tr>
      <w:tr w:rsidR="00C7085E" w:rsidTr="00C7085E">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Menor o igual que 3</w:t>
            </w:r>
          </w:p>
        </w:tc>
        <w:tc>
          <w:tcPr>
            <w:tcW w:w="2978"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6</w:t>
            </w:r>
          </w:p>
        </w:tc>
      </w:tr>
      <w:tr w:rsidR="00C7085E" w:rsidTr="00C7085E">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Entre 3 y 6</w:t>
            </w:r>
          </w:p>
        </w:tc>
        <w:tc>
          <w:tcPr>
            <w:tcW w:w="2978"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9</w:t>
            </w:r>
          </w:p>
        </w:tc>
      </w:tr>
      <w:tr w:rsidR="00C7085E" w:rsidTr="00C7085E">
        <w:trPr>
          <w:cantSplit/>
          <w:jc w:val="center"/>
        </w:trPr>
        <w:tc>
          <w:tcPr>
            <w:tcW w:w="3402"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Mayor que 6</w:t>
            </w:r>
          </w:p>
        </w:tc>
        <w:tc>
          <w:tcPr>
            <w:tcW w:w="2978" w:type="dxa"/>
            <w:tcBorders>
              <w:top w:val="single" w:sz="4" w:space="0" w:color="auto"/>
              <w:left w:val="single" w:sz="4" w:space="0" w:color="auto"/>
              <w:bottom w:val="single" w:sz="4" w:space="0" w:color="auto"/>
              <w:right w:val="single" w:sz="4" w:space="0" w:color="auto"/>
            </w:tcBorders>
            <w:hideMark/>
          </w:tcPr>
          <w:p w:rsidR="00C7085E" w:rsidRDefault="00C7085E" w:rsidP="00B71B1A">
            <w:pPr>
              <w:pStyle w:val="Celdas"/>
              <w:spacing w:before="120" w:after="240" w:line="276" w:lineRule="auto"/>
              <w:ind w:right="-285"/>
              <w:jc w:val="center"/>
            </w:pPr>
            <w:r>
              <w:t>12</w:t>
            </w:r>
          </w:p>
        </w:tc>
      </w:tr>
    </w:tbl>
    <w:p w:rsidR="00C7085E" w:rsidRDefault="00C7085E" w:rsidP="00B71B1A">
      <w:pPr>
        <w:pStyle w:val="Tabla"/>
        <w:spacing w:before="120" w:line="276" w:lineRule="auto"/>
        <w:ind w:right="-285"/>
      </w:pPr>
      <w:r>
        <w:t>Tolerancias admisibles de alabeo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forjados se medirán por metros cuadrados (m</w:t>
      </w:r>
      <w:r>
        <w:rPr>
          <w:vertAlign w:val="superscript"/>
        </w:rPr>
        <w:t>2</w:t>
      </w:r>
      <w:r>
        <w:t>) de superficie vista de forjado, por su cara superior y se abonarán, en función del tipo y de su canto, al precio que corresponda de los que figuren en el Cuadro de Precios vigente de Canal de Isabel II Gestión.</w:t>
      </w:r>
    </w:p>
    <w:p w:rsidR="00C7085E" w:rsidRDefault="00C7085E" w:rsidP="00B71B1A">
      <w:pPr>
        <w:spacing w:before="120" w:after="240" w:line="276" w:lineRule="auto"/>
        <w:ind w:right="-285"/>
      </w:pPr>
      <w:r>
        <w:t>En el precio se considera incluido el suministro y puesta en obra, así como todos los materiales, mano de obra, operaciones y medios auxiliares necesarios para la correcta ejecución de la unidad.</w:t>
      </w:r>
    </w:p>
    <w:p w:rsidR="00C7085E" w:rsidRDefault="00C7085E" w:rsidP="00B71B1A">
      <w:pPr>
        <w:spacing w:before="120" w:after="240" w:line="276" w:lineRule="auto"/>
        <w:ind w:right="-285"/>
      </w:pPr>
      <w:r>
        <w:t>Las fábricas de ladrillo se medirán, o por metros cuadrados (m</w:t>
      </w:r>
      <w:r>
        <w:rPr>
          <w:vertAlign w:val="superscript"/>
        </w:rPr>
        <w:t>2</w:t>
      </w:r>
      <w:r>
        <w:t>) realmente colocados, medidos sobre los planos de Proyecto o por metros cúbicos (m</w:t>
      </w:r>
      <w:r>
        <w:rPr>
          <w:vertAlign w:val="superscript"/>
        </w:rPr>
        <w:t>3</w:t>
      </w:r>
      <w:r>
        <w:t>) realmente ejecutados, dependiendo si en la descripción de la unidad se incluye o no el espesor de la fábrica.</w:t>
      </w:r>
    </w:p>
    <w:p w:rsidR="00C7085E" w:rsidRDefault="00C7085E" w:rsidP="00B71B1A">
      <w:pPr>
        <w:spacing w:before="120" w:after="240" w:line="276" w:lineRule="auto"/>
        <w:ind w:right="-285"/>
      </w:pPr>
      <w:r>
        <w:t>Los precios de abono serán en cada caso el que corresponda, en función del tipo de ladrillo, de los comprendidos en el Cuadro de Precios vigente de Canal de Isabel II Gestión.</w:t>
      </w:r>
    </w:p>
    <w:p w:rsidR="00C7085E" w:rsidRDefault="00C7085E" w:rsidP="00B71B1A">
      <w:pPr>
        <w:spacing w:before="120" w:after="240" w:line="276" w:lineRule="auto"/>
        <w:ind w:right="-285"/>
      </w:pPr>
      <w:r>
        <w:t xml:space="preserve">En los precios se considera incluido el suministro, la puesta en obra y todos los materiales, maquinaria y mano de obra necesarios para la correcta ejecución de estas unidades de obra. Se incluyen también todas las piezas especiales necesarias para ejecutar, remates, huecos, zunchos de arriostramiento, vierteaguas, piezas en esquina, etc., así como los materiales necesarios para colocarlas y ejecutarlas correctamente. </w:t>
      </w:r>
    </w:p>
    <w:p w:rsidR="00C7085E" w:rsidRDefault="00C7085E" w:rsidP="00B71B1A">
      <w:pPr>
        <w:spacing w:before="120" w:after="240" w:line="276" w:lineRule="auto"/>
        <w:ind w:right="-285"/>
      </w:pPr>
      <w:r>
        <w:lastRenderedPageBreak/>
        <w:t>Las fábricas de bloques de hormigón se medirán por metros cuadrados (m</w:t>
      </w:r>
      <w:r>
        <w:rPr>
          <w:vertAlign w:val="superscript"/>
        </w:rPr>
        <w:t>2</w:t>
      </w:r>
      <w:r>
        <w:t>) realmente ejecutados, medidos sobre los planos de Proyecto y se abonarán, en función del tipo de bloque y de las dimensiones, al precio que corresponda de los que figuren en el Cuadro de Precios vigente de Canal de Isabel II Gestión.</w:t>
      </w:r>
    </w:p>
    <w:p w:rsidR="00C7085E" w:rsidRDefault="00C7085E" w:rsidP="00B71B1A">
      <w:pPr>
        <w:spacing w:before="120" w:after="240" w:line="276" w:lineRule="auto"/>
        <w:ind w:right="-285"/>
      </w:pPr>
      <w:r>
        <w:t>En los precios se incluye el suministro, la puesta en obra y cuantos medios materiales, auxiliares, operaciones y piezas especiales sean necesarios para la correcta ejecución de la obra.</w:t>
      </w:r>
    </w:p>
    <w:p w:rsidR="00C7085E" w:rsidRDefault="00C7085E" w:rsidP="00B71B1A">
      <w:pPr>
        <w:spacing w:before="120" w:after="240" w:line="276" w:lineRule="auto"/>
        <w:ind w:right="-285"/>
      </w:pPr>
      <w:r>
        <w:t>La mampostería se medirá por metros cúbicos (m</w:t>
      </w:r>
      <w:r>
        <w:rPr>
          <w:vertAlign w:val="superscript"/>
        </w:rPr>
        <w:t>3</w:t>
      </w:r>
      <w:r>
        <w:t>) realmente colocados y se abonará al precio que corresponda, en función del tipo y del material, de los comprendidos en el Cuadro de Precios vigente de Canal de Isabel II Gestión.</w:t>
      </w:r>
    </w:p>
    <w:p w:rsidR="00C7085E" w:rsidRDefault="00C7085E" w:rsidP="00B71B1A">
      <w:pPr>
        <w:spacing w:before="120" w:after="240" w:line="276" w:lineRule="auto"/>
        <w:ind w:right="-285"/>
      </w:pPr>
      <w:r>
        <w:t>En el precio de la unidad se incluye el suministro del material, así como el replanteo, la nivelación, la preparación de las piedras, el aplomado, las mermas y la limpieza, y cuantos medios auxiliares y operaciones sean necesarios para la correcta ejecución.</w:t>
      </w:r>
    </w:p>
    <w:p w:rsidR="00C7085E" w:rsidRDefault="00C7085E" w:rsidP="00B71B1A">
      <w:pPr>
        <w:spacing w:before="120" w:after="240" w:line="276" w:lineRule="auto"/>
        <w:ind w:right="-285"/>
      </w:pPr>
      <w:r>
        <w:t>Las cubiertas y los materiales empleados para su impermeabilización se medirán por metros cuadrados (m</w:t>
      </w:r>
      <w:r>
        <w:rPr>
          <w:vertAlign w:val="superscript"/>
        </w:rPr>
        <w:t>2</w:t>
      </w:r>
      <w:r>
        <w:t>) de superficie ejecutada y se abonarán al precio que corresponda de los que figuren en el Cuadro de Precios vigente de Canal de Isabel II Gestión.</w:t>
      </w:r>
    </w:p>
    <w:p w:rsidR="00C7085E" w:rsidRDefault="00C7085E" w:rsidP="00B71B1A">
      <w:pPr>
        <w:spacing w:before="120" w:after="240" w:line="276" w:lineRule="auto"/>
        <w:ind w:right="-285"/>
      </w:pPr>
      <w:r>
        <w:t>Los paneles prefabricados de hormigón se medirán por metros cuadrados (m</w:t>
      </w:r>
      <w:r>
        <w:rPr>
          <w:vertAlign w:val="superscript"/>
        </w:rPr>
        <w:t>2</w:t>
      </w:r>
      <w:r>
        <w:t>) realmente colocados y se abonarán en función del acabado del panel, aplicando el precio que corresponda de los comprendidos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214" w:name="_Toc414021816"/>
      <w:bookmarkStart w:id="215" w:name="_Toc448741437"/>
      <w:r>
        <w:t>Revestimientos</w:t>
      </w:r>
      <w:bookmarkEnd w:id="214"/>
      <w:bookmarkEnd w:id="215"/>
      <w:r>
        <w:t xml:space="preserve">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widowControl/>
        <w:numPr>
          <w:ilvl w:val="0"/>
          <w:numId w:val="12"/>
        </w:numPr>
        <w:spacing w:before="120" w:after="240" w:line="276" w:lineRule="auto"/>
        <w:ind w:left="714" w:right="-285" w:hanging="357"/>
      </w:pPr>
      <w:r>
        <w:t>Enfoscados y enlucidos</w:t>
      </w:r>
    </w:p>
    <w:p w:rsidR="00C7085E" w:rsidRDefault="00C7085E" w:rsidP="00B71B1A">
      <w:pPr>
        <w:spacing w:before="120" w:after="240" w:line="276" w:lineRule="auto"/>
        <w:ind w:right="-285"/>
        <w:rPr>
          <w:rFonts w:cs="Arial"/>
          <w:bCs/>
          <w:i/>
          <w:color w:val="000000"/>
          <w:szCs w:val="22"/>
        </w:rPr>
      </w:pPr>
      <w:r>
        <w:rPr>
          <w:szCs w:val="22"/>
        </w:rPr>
        <w:t xml:space="preserve">Los materiales que forman el mortero de cemento a utilizar en el enfoscado de paramentos cumplirá con las especificaciones establecidas en la norma UNE-EN: 998: </w:t>
      </w:r>
      <w:r>
        <w:rPr>
          <w:rFonts w:cs="Arial"/>
          <w:i/>
          <w:szCs w:val="22"/>
        </w:rPr>
        <w:t>“</w:t>
      </w:r>
      <w:r>
        <w:rPr>
          <w:rFonts w:cs="Arial"/>
          <w:bCs/>
          <w:i/>
          <w:color w:val="000000"/>
          <w:szCs w:val="22"/>
        </w:rPr>
        <w:t>Especificaciones de los morteros para albañilería. Parte 1: Morteros para revoco y enlucido.”</w:t>
      </w:r>
    </w:p>
    <w:p w:rsidR="00C7085E" w:rsidRDefault="00C7085E" w:rsidP="00B71B1A">
      <w:pPr>
        <w:spacing w:before="120" w:after="240" w:line="276" w:lineRule="auto"/>
        <w:ind w:right="-285"/>
        <w:rPr>
          <w:rFonts w:cs="Arial"/>
          <w:bCs/>
          <w:i/>
          <w:color w:val="000000"/>
          <w:szCs w:val="22"/>
        </w:rPr>
      </w:pPr>
      <w:r>
        <w:rPr>
          <w:rFonts w:cs="Arial"/>
          <w:bCs/>
          <w:color w:val="000000"/>
          <w:szCs w:val="22"/>
        </w:rPr>
        <w:t>La cal a emplear en los revestimientos cumplirán las especificaciones de la UNE-EN: 459-1</w:t>
      </w:r>
      <w:r>
        <w:rPr>
          <w:rFonts w:cs="Arial"/>
          <w:bCs/>
          <w:i/>
          <w:color w:val="000000"/>
          <w:szCs w:val="22"/>
        </w:rPr>
        <w:t>: “Cales para la construcción. Parte 1: Definiciones, especificaciones y criterios de conformidad.”</w:t>
      </w:r>
    </w:p>
    <w:p w:rsidR="00C7085E" w:rsidRDefault="00C7085E" w:rsidP="00B71B1A">
      <w:pPr>
        <w:spacing w:before="120" w:after="240" w:line="276" w:lineRule="auto"/>
        <w:ind w:right="-285"/>
        <w:rPr>
          <w:rFonts w:cs="Arial"/>
          <w:bCs/>
          <w:i/>
          <w:color w:val="000000"/>
          <w:szCs w:val="22"/>
        </w:rPr>
      </w:pPr>
      <w:r>
        <w:t>Los yesos utilizados en guarnecidos, tendidos y enlucidos deberán cumplir las especificaciones que figuran en la norma UNE-EN 13279: “</w:t>
      </w:r>
      <w:r>
        <w:rPr>
          <w:rFonts w:cs="Arial"/>
          <w:bCs/>
          <w:i/>
          <w:color w:val="000000"/>
          <w:szCs w:val="22"/>
        </w:rPr>
        <w:t>Yesos de construcción y conglomerantes a base de yeso para la construcción. Parte 1: Definiciones y especificaciones”.</w:t>
      </w:r>
    </w:p>
    <w:p w:rsidR="00C7085E" w:rsidRDefault="00C7085E" w:rsidP="00B71B1A">
      <w:pPr>
        <w:spacing w:before="120" w:after="240" w:line="276" w:lineRule="auto"/>
        <w:ind w:right="-285"/>
        <w:rPr>
          <w:rFonts w:cs="Arial"/>
          <w:bCs/>
          <w:color w:val="000000"/>
          <w:szCs w:val="22"/>
        </w:rPr>
      </w:pPr>
      <w:r>
        <w:t xml:space="preserve">Los prefabricados de yeso o escayola a utilizar en techos cumplirán lo especificado para los mismos en las siguientes normas: </w:t>
      </w:r>
      <w:r>
        <w:rPr>
          <w:rFonts w:cs="Arial"/>
          <w:bCs/>
          <w:color w:val="000000"/>
          <w:szCs w:val="22"/>
        </w:rPr>
        <w:t>UNE-EN 14246: “</w:t>
      </w:r>
      <w:r>
        <w:rPr>
          <w:rFonts w:cs="Arial"/>
          <w:bCs/>
          <w:i/>
          <w:color w:val="000000"/>
          <w:szCs w:val="22"/>
        </w:rPr>
        <w:t xml:space="preserve">Placas de escayola para techos suspendidos. Definiciones, especificaciones y métodos de ensayo” </w:t>
      </w:r>
      <w:r>
        <w:rPr>
          <w:rFonts w:cs="Arial"/>
          <w:bCs/>
          <w:color w:val="000000"/>
          <w:szCs w:val="22"/>
        </w:rPr>
        <w:t xml:space="preserve">y UNE-EN 520: </w:t>
      </w:r>
      <w:r>
        <w:rPr>
          <w:rFonts w:cs="Arial"/>
          <w:bCs/>
          <w:i/>
          <w:color w:val="000000"/>
          <w:szCs w:val="22"/>
        </w:rPr>
        <w:t xml:space="preserve">Placas </w:t>
      </w:r>
      <w:r>
        <w:rPr>
          <w:rFonts w:cs="Arial"/>
          <w:bCs/>
          <w:i/>
          <w:color w:val="000000"/>
          <w:szCs w:val="22"/>
        </w:rPr>
        <w:lastRenderedPageBreak/>
        <w:t>de yeso laminado. Definiciones, especificaciones y métodos de ensayo</w:t>
      </w:r>
      <w:r>
        <w:rPr>
          <w:rFonts w:cs="Arial"/>
          <w:bCs/>
          <w:color w:val="000000"/>
          <w:szCs w:val="22"/>
        </w:rPr>
        <w:t>”.</w:t>
      </w:r>
    </w:p>
    <w:p w:rsidR="00C7085E" w:rsidRDefault="00C7085E" w:rsidP="00B71B1A">
      <w:pPr>
        <w:keepNext/>
        <w:keepLines/>
        <w:widowControl/>
        <w:numPr>
          <w:ilvl w:val="0"/>
          <w:numId w:val="12"/>
        </w:numPr>
        <w:spacing w:before="120" w:after="240" w:line="276" w:lineRule="auto"/>
        <w:ind w:left="714" w:right="-285" w:hanging="357"/>
      </w:pPr>
      <w:r>
        <w:t>Alicatados, solados y pavimentos</w:t>
      </w:r>
    </w:p>
    <w:p w:rsidR="00C7085E" w:rsidRDefault="00C7085E" w:rsidP="00B71B1A">
      <w:pPr>
        <w:keepNext/>
        <w:keepLines/>
        <w:spacing w:before="120" w:after="240" w:line="276" w:lineRule="auto"/>
        <w:ind w:right="-285"/>
        <w:rPr>
          <w:i/>
        </w:rPr>
      </w:pPr>
      <w:r>
        <w:t>Los materiales a emplear en alicatados y solados de superficies deberán cumplir las especificaciones establecidas en la norma UNE-EN 14411: “</w:t>
      </w:r>
      <w:r>
        <w:rPr>
          <w:i/>
        </w:rPr>
        <w:t>Baldosas cerámicas. Definiciones, clasificación, características y marcado”.</w:t>
      </w:r>
    </w:p>
    <w:p w:rsidR="00C7085E" w:rsidRDefault="00C7085E" w:rsidP="00B71B1A">
      <w:pPr>
        <w:keepNext/>
        <w:keepLines/>
        <w:spacing w:before="120" w:after="240" w:line="276" w:lineRule="auto"/>
        <w:ind w:right="-285"/>
      </w:pPr>
      <w:r>
        <w:t>Para los pavimentos, en función del material, la normativa aplicable será la siguiente:</w:t>
      </w:r>
    </w:p>
    <w:tbl>
      <w:tblPr>
        <w:tblStyle w:val="Tablaconcuadrcula"/>
        <w:tblW w:w="0" w:type="auto"/>
        <w:jc w:val="center"/>
        <w:tblLook w:val="04A0" w:firstRow="1" w:lastRow="0" w:firstColumn="1" w:lastColumn="0" w:noHBand="0" w:noVBand="1"/>
      </w:tblPr>
      <w:tblGrid>
        <w:gridCol w:w="2515"/>
        <w:gridCol w:w="6096"/>
      </w:tblGrid>
      <w:tr w:rsidR="00C7085E" w:rsidTr="00C7085E">
        <w:trPr>
          <w:jc w:val="center"/>
        </w:trPr>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TIPO DE PAVIMENTO</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rPr>
                <w:b/>
              </w:rPr>
            </w:pPr>
            <w:r>
              <w:rPr>
                <w:b/>
              </w:rPr>
              <w:t>NORMA</w:t>
            </w:r>
          </w:p>
        </w:tc>
      </w:tr>
      <w:tr w:rsidR="00C7085E" w:rsidTr="00C7085E">
        <w:trPr>
          <w:jc w:val="center"/>
        </w:trPr>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Baldosas de terrazo</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UNE-EN 13748: “</w:t>
            </w:r>
            <w:r>
              <w:rPr>
                <w:i/>
              </w:rPr>
              <w:t>Baldosas de terrazo. Parte 1. Baldosas de terrazo para uso interior”.</w:t>
            </w:r>
          </w:p>
        </w:tc>
      </w:tr>
      <w:tr w:rsidR="00C7085E" w:rsidTr="00C7085E">
        <w:trPr>
          <w:jc w:val="center"/>
        </w:trPr>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Cemento continuo</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Instrucción de Hormigón Estructural (EHE) y la Instrucción para la Recepción de Cementos (RC)</w:t>
            </w:r>
          </w:p>
        </w:tc>
      </w:tr>
      <w:tr w:rsidR="00C7085E" w:rsidTr="00C7085E">
        <w:trPr>
          <w:jc w:val="center"/>
        </w:trPr>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center"/>
            </w:pPr>
            <w:r>
              <w:t>Uso industrial</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keepNext/>
              <w:keepLines/>
              <w:spacing w:before="120" w:after="240" w:line="276" w:lineRule="auto"/>
              <w:ind w:right="-285"/>
              <w:jc w:val="left"/>
            </w:pPr>
            <w:r>
              <w:t>NFP 11-213</w:t>
            </w:r>
          </w:p>
        </w:tc>
      </w:tr>
    </w:tbl>
    <w:p w:rsidR="00C7085E" w:rsidRDefault="00C7085E" w:rsidP="00B71B1A">
      <w:pPr>
        <w:pStyle w:val="Tabla"/>
        <w:keepNext/>
        <w:keepLines/>
        <w:spacing w:before="120" w:line="276" w:lineRule="auto"/>
        <w:ind w:right="-285"/>
      </w:pPr>
      <w:r>
        <w:t>Normativa aplicable sobre pavimentos</w:t>
      </w:r>
    </w:p>
    <w:p w:rsidR="00C7085E" w:rsidRDefault="00C7085E" w:rsidP="00B71B1A">
      <w:pPr>
        <w:widowControl/>
        <w:numPr>
          <w:ilvl w:val="0"/>
          <w:numId w:val="12"/>
        </w:numPr>
        <w:spacing w:before="120" w:after="240" w:line="276" w:lineRule="auto"/>
        <w:ind w:left="714" w:right="-285" w:hanging="357"/>
      </w:pPr>
      <w:r>
        <w:t>Pinturas</w:t>
      </w:r>
    </w:p>
    <w:p w:rsidR="00C7085E" w:rsidRDefault="00C7085E" w:rsidP="00B71B1A">
      <w:pPr>
        <w:spacing w:before="120" w:after="240" w:line="276" w:lineRule="auto"/>
        <w:ind w:right="-285"/>
      </w:pPr>
      <w:r>
        <w:t>Las materias primas constitutivas de las pinturas se regirán por las normas INTA Comisión 16 - Pinturas, Esmaltes y Barnices.</w:t>
      </w:r>
    </w:p>
    <w:p w:rsidR="00C7085E" w:rsidRDefault="00C7085E" w:rsidP="00B71B1A">
      <w:pPr>
        <w:spacing w:before="120" w:after="240" w:line="276" w:lineRule="auto"/>
        <w:ind w:right="-285"/>
      </w:pPr>
      <w:r>
        <w:t>Los aceites secantes cumplirán las condiciones exigidas en las normas INTA 16 11 que le corresponda.</w:t>
      </w:r>
    </w:p>
    <w:p w:rsidR="00C7085E" w:rsidRDefault="00C7085E" w:rsidP="00B71B1A">
      <w:pPr>
        <w:spacing w:before="120" w:after="240" w:line="276" w:lineRule="auto"/>
        <w:ind w:right="-285"/>
      </w:pPr>
      <w:r>
        <w:t>Los pigmentos y cargas cumplirán las exigencias de las normas INTA 16 12 que le sean de aplicación.</w:t>
      </w:r>
    </w:p>
    <w:p w:rsidR="00C7085E" w:rsidRDefault="00C7085E" w:rsidP="00B71B1A">
      <w:pPr>
        <w:spacing w:before="120" w:after="240" w:line="276" w:lineRule="auto"/>
        <w:ind w:right="-285"/>
      </w:pPr>
      <w:r>
        <w:t>Los disolventes compuestos se regirán por las normas INTA 16 13 y los preparados por las 16 23 que le sean de aplicación.</w:t>
      </w:r>
    </w:p>
    <w:p w:rsidR="00C7085E" w:rsidRDefault="00C7085E" w:rsidP="00B71B1A">
      <w:pPr>
        <w:spacing w:before="120" w:after="240" w:line="276" w:lineRule="auto"/>
        <w:ind w:right="-285"/>
      </w:pPr>
      <w:r>
        <w:t>Los plastificantes cumplirán las condiciones exigidas en la norma INTA 16 14 01 A.</w:t>
      </w:r>
    </w:p>
    <w:p w:rsidR="00C7085E" w:rsidRDefault="00C7085E" w:rsidP="00B71B1A">
      <w:pPr>
        <w:spacing w:before="120" w:after="240" w:line="276" w:lineRule="auto"/>
        <w:ind w:right="-285"/>
      </w:pPr>
      <w:proofErr w:type="gramStart"/>
      <w:r>
        <w:t>Los</w:t>
      </w:r>
      <w:proofErr w:type="gramEnd"/>
      <w:r>
        <w:t xml:space="preserve"> secantes se regirán por la norma INTA 16 15 01 A.</w:t>
      </w:r>
    </w:p>
    <w:p w:rsidR="00C7085E" w:rsidRDefault="00C7085E" w:rsidP="00B71B1A">
      <w:pPr>
        <w:spacing w:before="120" w:after="240" w:line="276" w:lineRule="auto"/>
        <w:ind w:right="-285"/>
      </w:pPr>
      <w:r>
        <w:t>Las resinas se regirán por las normas INTA 16 16 que le sean de aplicación.</w:t>
      </w:r>
    </w:p>
    <w:p w:rsidR="00C7085E" w:rsidRDefault="00C7085E" w:rsidP="00B71B1A">
      <w:pPr>
        <w:spacing w:before="120" w:after="240" w:line="276" w:lineRule="auto"/>
        <w:ind w:right="-285"/>
      </w:pPr>
      <w:r>
        <w:t>El Adjudicatario especificará las materias primas de las pinturas ofertadas y las normas INTA por las cuales se regirán.</w:t>
      </w:r>
    </w:p>
    <w:p w:rsidR="0032619C" w:rsidRDefault="0032619C" w:rsidP="00B71B1A">
      <w:pPr>
        <w:spacing w:before="120" w:after="240" w:line="276" w:lineRule="auto"/>
        <w:ind w:right="-285"/>
      </w:pP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Ejecución</w:t>
      </w:r>
    </w:p>
    <w:p w:rsidR="00C7085E" w:rsidRDefault="00C7085E" w:rsidP="00B71B1A">
      <w:pPr>
        <w:widowControl/>
        <w:numPr>
          <w:ilvl w:val="0"/>
          <w:numId w:val="12"/>
        </w:numPr>
        <w:spacing w:before="120" w:after="240" w:line="276" w:lineRule="auto"/>
        <w:ind w:left="714" w:right="-285" w:hanging="357"/>
      </w:pPr>
      <w:r>
        <w:t>Enfoscados y enlucidos</w:t>
      </w:r>
    </w:p>
    <w:p w:rsidR="00C7085E" w:rsidRDefault="00C7085E" w:rsidP="00B71B1A">
      <w:pPr>
        <w:spacing w:before="120" w:after="240" w:line="276" w:lineRule="auto"/>
        <w:ind w:right="-285"/>
      </w:pPr>
      <w:r>
        <w:t>Los enfoscados y enlucidos se ejecutarán de acuerdo a las especificaciones recogidas en la Norma Tecnológica de la Edificación (NTE) correspondiente, sin perjuicio de lo que para los mismos, se establezca en el Código Técnico de la Edificación.</w:t>
      </w:r>
    </w:p>
    <w:p w:rsidR="00C7085E" w:rsidRDefault="00C7085E" w:rsidP="00B71B1A">
      <w:pPr>
        <w:keepNext/>
        <w:keepLines/>
        <w:widowControl/>
        <w:numPr>
          <w:ilvl w:val="0"/>
          <w:numId w:val="12"/>
        </w:numPr>
        <w:spacing w:before="120" w:after="240" w:line="276" w:lineRule="auto"/>
        <w:ind w:left="714" w:right="-285" w:hanging="357"/>
      </w:pPr>
      <w:r>
        <w:t>Alicatados, solados y pavimentos</w:t>
      </w:r>
    </w:p>
    <w:p w:rsidR="00C7085E" w:rsidRDefault="00C7085E" w:rsidP="00B71B1A">
      <w:pPr>
        <w:keepNext/>
        <w:keepLines/>
        <w:spacing w:before="120" w:after="240" w:line="276" w:lineRule="auto"/>
        <w:ind w:right="-285"/>
      </w:pPr>
      <w:r>
        <w:t>Los alicatados, solados y pavimentos se ejecutarán de acuerdo a las especificaciones recogidas en la Norma Tecnológica de la Edificación (NTE) correspondiente, sin perjuicio de lo que para los mismos, se establezca en el Código Técnico de la Edificación.</w:t>
      </w:r>
    </w:p>
    <w:p w:rsidR="00C7085E" w:rsidRDefault="00C7085E" w:rsidP="00B71B1A">
      <w:pPr>
        <w:widowControl/>
        <w:numPr>
          <w:ilvl w:val="0"/>
          <w:numId w:val="12"/>
        </w:numPr>
        <w:spacing w:before="120" w:after="240" w:line="276" w:lineRule="auto"/>
        <w:ind w:left="714" w:right="-285" w:hanging="357"/>
      </w:pPr>
      <w:r>
        <w:t>Pinturas</w:t>
      </w:r>
    </w:p>
    <w:p w:rsidR="00C7085E" w:rsidRDefault="00C7085E" w:rsidP="00B71B1A">
      <w:pPr>
        <w:spacing w:before="120" w:after="240" w:line="276" w:lineRule="auto"/>
        <w:ind w:right="-285"/>
      </w:pPr>
      <w:r>
        <w:t>Para su ejecución será de aplicación las recomendaciones recogidas en la Norma Tecnológica de la Edificación: NTE-RPP “Pinturas”.</w:t>
      </w:r>
    </w:p>
    <w:p w:rsidR="00C7085E" w:rsidRDefault="00C7085E" w:rsidP="00B71B1A">
      <w:pPr>
        <w:spacing w:before="120" w:after="240" w:line="276" w:lineRule="auto"/>
        <w:ind w:right="-285"/>
      </w:pPr>
      <w:r>
        <w:t>El material a emplear se suministrará en los envases originales, sellados y con la etiqueta del fabricante con la que se proporcionarán las instrucciones necesarias para su correcta aplicación.</w:t>
      </w:r>
    </w:p>
    <w:p w:rsidR="00C7085E" w:rsidRDefault="00C7085E" w:rsidP="00B71B1A">
      <w:pPr>
        <w:spacing w:before="120" w:after="240" w:line="276" w:lineRule="auto"/>
        <w:ind w:right="-285"/>
      </w:pPr>
      <w:r>
        <w:t>Igualmente estarán impresas en el envase la fecha de fabricación, caducidad y el número de lote.</w:t>
      </w:r>
    </w:p>
    <w:p w:rsidR="00C7085E" w:rsidRDefault="00C7085E" w:rsidP="00B71B1A">
      <w:pPr>
        <w:spacing w:before="120" w:after="240" w:line="276" w:lineRule="auto"/>
        <w:ind w:right="-285"/>
      </w:pPr>
      <w:r>
        <w:t>Los materiales deben suministrarse con el correspondiente certificado de composición con referencia al número del lote e indicando el número de kilogramos suministrados.</w:t>
      </w:r>
    </w:p>
    <w:p w:rsidR="00C7085E" w:rsidRDefault="00C7085E" w:rsidP="00B71B1A">
      <w:pPr>
        <w:spacing w:before="120" w:after="240" w:line="276" w:lineRule="auto"/>
        <w:ind w:right="-285"/>
      </w:pPr>
      <w:r>
        <w:t>Los materiales se almacenarán de acuerdo con las instrucciones dadas por el fabricante y en todo caso estarán protegidos de la humedad, del sol directo y en locales bien ventilados.</w:t>
      </w:r>
    </w:p>
    <w:p w:rsidR="00C7085E" w:rsidRDefault="00C7085E" w:rsidP="00B71B1A">
      <w:pPr>
        <w:spacing w:before="120" w:after="240" w:line="276" w:lineRule="auto"/>
        <w:ind w:right="-285"/>
      </w:pPr>
      <w:r>
        <w:t>La temperatura del recinto de almacenamiento no debe ser inferior a diez grados centígrados (10º C), ni superior a treinta y dos grados centígrados (32º C).</w:t>
      </w:r>
    </w:p>
    <w:p w:rsidR="00C7085E" w:rsidRDefault="00C7085E" w:rsidP="00B71B1A">
      <w:pPr>
        <w:spacing w:before="120" w:after="240" w:line="276" w:lineRule="auto"/>
        <w:ind w:right="-285"/>
      </w:pPr>
      <w:r>
        <w:t>La superficie de aplicación estará preparada con todos los elementos (puertas, ventanas, etc.) recibidos y totalmente nivelada y lisa.</w:t>
      </w:r>
    </w:p>
    <w:p w:rsidR="00C7085E" w:rsidRDefault="00C7085E" w:rsidP="00B71B1A">
      <w:pPr>
        <w:spacing w:before="120" w:after="240" w:line="276" w:lineRule="auto"/>
        <w:ind w:right="-285"/>
      </w:pPr>
      <w:r>
        <w:t>No se pintará bajo condiciones climatológicas adversas: tiempo lluvioso, humedad relativa superior al 85%, temperatura no comprendida entre veintiocho y seis grados centígrados.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widowControl/>
        <w:numPr>
          <w:ilvl w:val="0"/>
          <w:numId w:val="12"/>
        </w:numPr>
        <w:spacing w:before="120" w:after="240" w:line="276" w:lineRule="auto"/>
        <w:ind w:left="714" w:right="-285" w:hanging="357"/>
      </w:pPr>
      <w:r>
        <w:t>Enfoscados y enlucidos</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 xml:space="preserve">Si el producto viene envasado en sacos se muestrearán el cinco por ciento (5%) de los sacos. Cuando la partida se suministre a granel, se tomarán cinco muestras de cada partida. </w:t>
      </w:r>
    </w:p>
    <w:p w:rsidR="00C7085E" w:rsidRDefault="00C7085E" w:rsidP="00B71B1A">
      <w:pPr>
        <w:spacing w:before="120" w:after="240" w:line="276" w:lineRule="auto"/>
        <w:ind w:right="-285"/>
        <w:rPr>
          <w:rFonts w:cs="Arial"/>
          <w:bCs/>
          <w:color w:val="000000"/>
          <w:szCs w:val="22"/>
        </w:rPr>
      </w:pPr>
      <w:r>
        <w:lastRenderedPageBreak/>
        <w:t>Los ensayos a realizar y los criterios para evaluar la conformidad de la</w:t>
      </w:r>
      <w:r>
        <w:rPr>
          <w:rFonts w:cs="Arial"/>
          <w:bCs/>
          <w:color w:val="000000"/>
          <w:szCs w:val="22"/>
        </w:rPr>
        <w:t xml:space="preserve"> cal a emplear en los revestimientos serán los especificados UNE-EN: 459, en sus partes 2 y 3.</w:t>
      </w:r>
    </w:p>
    <w:p w:rsidR="00C7085E" w:rsidRDefault="00C7085E" w:rsidP="00B71B1A">
      <w:pPr>
        <w:spacing w:before="120" w:after="240" w:line="276" w:lineRule="auto"/>
        <w:ind w:right="-285"/>
        <w:rPr>
          <w:rFonts w:cs="Arial"/>
          <w:bCs/>
          <w:i/>
          <w:color w:val="000000"/>
          <w:szCs w:val="22"/>
        </w:rPr>
      </w:pPr>
      <w:r>
        <w:t>Los ensayos a realizar en los yesos utilizados en guarnecidos, tendidos y enlucidos serán los indicados en las normas UNE-EN 13279: “</w:t>
      </w:r>
      <w:r>
        <w:rPr>
          <w:rFonts w:cs="Arial"/>
          <w:bCs/>
          <w:i/>
          <w:color w:val="000000"/>
          <w:szCs w:val="22"/>
        </w:rPr>
        <w:t xml:space="preserve">Yesos de construcción y conglomerantes a base de yeso para la construcción. Parte 2: Métodos de ensayo” </w:t>
      </w:r>
      <w:r>
        <w:rPr>
          <w:rFonts w:cs="Arial"/>
          <w:bCs/>
          <w:color w:val="000000"/>
          <w:szCs w:val="22"/>
        </w:rPr>
        <w:t>y en la UNE</w:t>
      </w:r>
      <w:r>
        <w:rPr>
          <w:rFonts w:cs="Arial"/>
          <w:bCs/>
          <w:i/>
          <w:color w:val="000000"/>
          <w:szCs w:val="22"/>
        </w:rPr>
        <w:t xml:space="preserve"> </w:t>
      </w:r>
      <w:r>
        <w:rPr>
          <w:rFonts w:cs="Arial"/>
          <w:bCs/>
          <w:color w:val="000000"/>
          <w:szCs w:val="22"/>
        </w:rPr>
        <w:t>102042</w:t>
      </w:r>
      <w:r>
        <w:rPr>
          <w:rFonts w:cs="Arial"/>
          <w:bCs/>
          <w:i/>
          <w:color w:val="000000"/>
          <w:szCs w:val="22"/>
        </w:rPr>
        <w:t>: Yesos y escayolas de construcción. Otros métodos de ensayo.”</w:t>
      </w:r>
    </w:p>
    <w:p w:rsidR="00C7085E" w:rsidRDefault="00C7085E" w:rsidP="00B71B1A">
      <w:pPr>
        <w:spacing w:before="120" w:after="240" w:line="276" w:lineRule="auto"/>
        <w:ind w:right="-285"/>
      </w:pPr>
      <w:r>
        <w:t>Todos los productos suministrados deberán estar en posesión del marcado CE.</w:t>
      </w:r>
    </w:p>
    <w:p w:rsidR="00C7085E" w:rsidRDefault="00C7085E" w:rsidP="00B71B1A">
      <w:pPr>
        <w:spacing w:before="120" w:after="240" w:line="276" w:lineRule="auto"/>
        <w:ind w:right="-285"/>
      </w:pPr>
      <w:r>
        <w:t>El número de muestras a ensayar seguirá el mismo criterio que el especificado para cales.</w:t>
      </w:r>
    </w:p>
    <w:p w:rsidR="00C7085E" w:rsidRDefault="00C7085E" w:rsidP="00B71B1A">
      <w:pPr>
        <w:spacing w:before="120" w:after="240" w:line="276" w:lineRule="auto"/>
        <w:ind w:right="-285"/>
        <w:rPr>
          <w:u w:val="single"/>
        </w:rPr>
      </w:pPr>
      <w:r>
        <w:rPr>
          <w:u w:val="single"/>
        </w:rPr>
        <w:t>Control de calidad de la ejecución</w:t>
      </w:r>
    </w:p>
    <w:p w:rsidR="00C7085E" w:rsidRDefault="00C7085E" w:rsidP="00B71B1A">
      <w:pPr>
        <w:spacing w:before="120" w:after="240" w:line="276" w:lineRule="auto"/>
        <w:ind w:right="-285"/>
      </w:pPr>
      <w:r>
        <w:t>Los controles a realizar durante la ejecución, así como su número serán los especificados en la Norma Tecnológica de la Edificación (NTE), aplicable en cada caso.</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t>Se cumplirán las exigencias establecidas en el Código Técnico de la Edificación.</w:t>
      </w:r>
    </w:p>
    <w:p w:rsidR="00C7085E" w:rsidRDefault="00C7085E" w:rsidP="00B71B1A">
      <w:pPr>
        <w:widowControl/>
        <w:numPr>
          <w:ilvl w:val="0"/>
          <w:numId w:val="12"/>
        </w:numPr>
        <w:spacing w:before="120" w:after="240" w:line="276" w:lineRule="auto"/>
        <w:ind w:left="714" w:right="-285" w:hanging="357"/>
      </w:pPr>
      <w:r>
        <w:t>Alicatados, solados y pavimentos</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Los ensayos a realizar y los criterios para evaluar la conformidad de los alicatados y solados serán los especificados UNE-EN 14411.</w:t>
      </w:r>
    </w:p>
    <w:p w:rsidR="00C7085E" w:rsidRDefault="00C7085E" w:rsidP="00B71B1A">
      <w:pPr>
        <w:spacing w:before="120" w:after="240" w:line="276" w:lineRule="auto"/>
        <w:ind w:right="-285"/>
      </w:pPr>
      <w:r>
        <w:t>Para los pavimentos, en función del material, la normativa aplicable será la especificada en el apartado de i) Materiales.</w:t>
      </w:r>
    </w:p>
    <w:p w:rsidR="00C7085E" w:rsidRDefault="00C7085E" w:rsidP="00B71B1A">
      <w:pPr>
        <w:spacing w:before="120" w:after="240" w:line="276" w:lineRule="auto"/>
        <w:ind w:right="-285"/>
      </w:pPr>
      <w:r>
        <w:t>Los ensayos se realizarán en todos los casos cada 500 m</w:t>
      </w:r>
      <w:r>
        <w:rPr>
          <w:vertAlign w:val="superscript"/>
        </w:rPr>
        <w:t>2</w:t>
      </w:r>
      <w:r>
        <w:t xml:space="preserve"> o fracción.</w:t>
      </w:r>
    </w:p>
    <w:p w:rsidR="00C7085E" w:rsidRDefault="00C7085E" w:rsidP="00B71B1A">
      <w:pPr>
        <w:spacing w:before="120" w:after="240" w:line="276" w:lineRule="auto"/>
        <w:ind w:right="-285"/>
        <w:rPr>
          <w:u w:val="single"/>
        </w:rPr>
      </w:pPr>
      <w:r>
        <w:rPr>
          <w:u w:val="single"/>
        </w:rPr>
        <w:t>Control de calidad de la ejecución</w:t>
      </w:r>
    </w:p>
    <w:p w:rsidR="00C7085E" w:rsidRDefault="00C7085E" w:rsidP="00B71B1A">
      <w:pPr>
        <w:spacing w:before="120" w:after="240" w:line="276" w:lineRule="auto"/>
        <w:ind w:right="-285"/>
      </w:pPr>
      <w:r>
        <w:t>Los controles a realizar durante la ejecución, así como su número serán los especificados en la Norma Tecnológica de la Edificación (NTE), aplicable en cada caso.</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t>Según normativa citada en los apartados anteriores.</w:t>
      </w:r>
    </w:p>
    <w:p w:rsidR="00C7085E" w:rsidRDefault="00C7085E" w:rsidP="00B71B1A">
      <w:pPr>
        <w:widowControl/>
        <w:numPr>
          <w:ilvl w:val="0"/>
          <w:numId w:val="12"/>
        </w:numPr>
        <w:spacing w:before="120" w:after="240" w:line="276" w:lineRule="auto"/>
        <w:ind w:left="714" w:right="-285" w:hanging="357"/>
      </w:pPr>
      <w:r>
        <w:t>Pinturas</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 xml:space="preserve">La toma de muestras se realizará conforme a la norma INTA 16 00 21. </w:t>
      </w:r>
    </w:p>
    <w:p w:rsidR="00C7085E" w:rsidRDefault="00C7085E" w:rsidP="00B71B1A">
      <w:pPr>
        <w:spacing w:before="120" w:after="240" w:line="276" w:lineRule="auto"/>
        <w:ind w:right="-285"/>
      </w:pPr>
      <w:r>
        <w:t xml:space="preserve">Los ensayos físicos y químicos se regirán por la normativa INTA que le sea de aplicación. Podrán sustituirse los ensayos mediante la presentación del certificado de calificación del </w:t>
      </w:r>
      <w:r>
        <w:lastRenderedPageBreak/>
        <w:t>INTA.</w:t>
      </w:r>
    </w:p>
    <w:p w:rsidR="00C7085E" w:rsidRDefault="00C7085E" w:rsidP="00B71B1A">
      <w:pPr>
        <w:spacing w:before="120" w:after="240" w:line="276" w:lineRule="auto"/>
        <w:ind w:right="-285"/>
        <w:rPr>
          <w:u w:val="single"/>
        </w:rPr>
      </w:pPr>
      <w:r>
        <w:rPr>
          <w:u w:val="single"/>
        </w:rPr>
        <w:t>Control de calidad de la ejecución</w:t>
      </w:r>
    </w:p>
    <w:p w:rsidR="00C7085E" w:rsidRDefault="00C7085E" w:rsidP="00B71B1A">
      <w:pPr>
        <w:spacing w:before="120" w:after="240" w:line="276" w:lineRule="auto"/>
        <w:ind w:right="-285"/>
      </w:pPr>
      <w:r>
        <w:t>Se realizarán los controles que se especifican en la Norma Tecnológica de la Edificación NTE-RPP "Pinturas".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revestimientos de paramentos, suelos, escaleras y techos se medirán por metros cuadrados (m</w:t>
      </w:r>
      <w:r>
        <w:rPr>
          <w:vertAlign w:val="superscript"/>
        </w:rPr>
        <w:t>2</w:t>
      </w:r>
      <w:r>
        <w:t>) de superficie realmente ejecutada, a excepción de los rodapiés y los revestimientos de escalera, que se medirán por metro colocado.</w:t>
      </w:r>
    </w:p>
    <w:p w:rsidR="00C7085E" w:rsidRDefault="00C7085E" w:rsidP="00B71B1A">
      <w:pPr>
        <w:spacing w:before="120" w:after="240" w:line="276" w:lineRule="auto"/>
        <w:ind w:right="-285"/>
      </w:pPr>
      <w:r>
        <w:t>Las unidades se abonarán al precio que les corresponda de los que figuren en el Cuadro de Precios vigente de Canal de Isabel II Gestión.</w:t>
      </w:r>
    </w:p>
    <w:p w:rsidR="00C7085E" w:rsidRDefault="00C7085E" w:rsidP="00B71B1A">
      <w:pPr>
        <w:spacing w:before="120" w:after="240" w:line="276" w:lineRule="auto"/>
        <w:ind w:right="-285"/>
      </w:pPr>
      <w:r>
        <w:t>Los precios comprenden todos los materiales, mano de obra, operaciones y medios auxiliares necesarios para la correcta ejecución de las unidades de obra definidas.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216" w:name="_Toc414021817"/>
      <w:bookmarkStart w:id="217" w:name="_Toc448741438"/>
      <w:r>
        <w:t>Carpintería</w:t>
      </w:r>
      <w:bookmarkEnd w:id="216"/>
      <w:bookmarkEnd w:id="217"/>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widowControl/>
        <w:numPr>
          <w:ilvl w:val="0"/>
          <w:numId w:val="12"/>
        </w:numPr>
        <w:spacing w:before="120" w:after="240" w:line="276" w:lineRule="auto"/>
        <w:ind w:left="714" w:right="-285" w:hanging="357"/>
      </w:pPr>
      <w:r>
        <w:t>Carpintería de madera</w:t>
      </w:r>
    </w:p>
    <w:p w:rsidR="00C7085E" w:rsidRDefault="00C7085E" w:rsidP="00B71B1A">
      <w:pPr>
        <w:spacing w:before="120" w:after="240" w:line="276" w:lineRule="auto"/>
        <w:ind w:right="-285"/>
      </w:pPr>
      <w:r>
        <w:t>La carpintería de madera para puertas se regirá por las normas UNE 56801: “</w:t>
      </w:r>
      <w:r>
        <w:rPr>
          <w:i/>
        </w:rPr>
        <w:t>Unidad de hueco de puerta de madera. Terminología, definiciones y clasificación</w:t>
      </w:r>
      <w:r>
        <w:t>” y la UNE 56803: “</w:t>
      </w:r>
      <w:r>
        <w:rPr>
          <w:i/>
        </w:rPr>
        <w:t>Hojas de puerta. Especificaciones complementarias</w:t>
      </w:r>
      <w:r>
        <w:t>”.</w:t>
      </w:r>
    </w:p>
    <w:p w:rsidR="00C7085E" w:rsidRDefault="00C7085E" w:rsidP="00B71B1A">
      <w:pPr>
        <w:spacing w:before="120" w:after="240" w:line="276" w:lineRule="auto"/>
        <w:ind w:right="-285"/>
      </w:pPr>
      <w:r>
        <w:t>Las puertas de madera se emplearán en cierres de pasos interiores y serán de madera maciza noble, preparada para pintar o barnizar.</w:t>
      </w:r>
    </w:p>
    <w:p w:rsidR="00C7085E" w:rsidRDefault="00C7085E" w:rsidP="00B71B1A">
      <w:pPr>
        <w:widowControl/>
        <w:numPr>
          <w:ilvl w:val="0"/>
          <w:numId w:val="12"/>
        </w:numPr>
        <w:spacing w:before="120" w:after="240" w:line="276" w:lineRule="auto"/>
        <w:ind w:left="714" w:right="-285" w:hanging="357"/>
      </w:pPr>
      <w:r>
        <w:t>Carpintería metálica</w:t>
      </w:r>
    </w:p>
    <w:p w:rsidR="00C7085E" w:rsidRDefault="00C7085E" w:rsidP="00B71B1A">
      <w:pPr>
        <w:spacing w:before="120" w:after="240" w:line="276" w:lineRule="auto"/>
        <w:ind w:right="-285"/>
      </w:pPr>
      <w:r>
        <w:t>Los aceros empleados para carpintería metálica cumplirán las especificaciones establecidas en la norma UNE-EN 10020 “</w:t>
      </w:r>
      <w:r>
        <w:rPr>
          <w:i/>
        </w:rPr>
        <w:t>Definición y clasificación de los tipos de aceros</w:t>
      </w:r>
      <w:r>
        <w:t xml:space="preserve">.” y en la Instrucción de Acero Estructural (EAE). </w:t>
      </w:r>
    </w:p>
    <w:p w:rsidR="00C7085E" w:rsidRDefault="00C7085E" w:rsidP="00B71B1A">
      <w:pPr>
        <w:spacing w:before="120" w:after="240" w:line="276" w:lineRule="auto"/>
        <w:ind w:right="-285"/>
        <w:rPr>
          <w:i/>
        </w:rPr>
      </w:pPr>
      <w:r>
        <w:t>Para la carpintería de aluminio anodizado se cumplirán las especificaciones establecidas en las normas UNE 38001: “</w:t>
      </w:r>
      <w:r>
        <w:rPr>
          <w:i/>
        </w:rPr>
        <w:t>Clasificación y designación de las aleaciones</w:t>
      </w:r>
      <w:r>
        <w:t xml:space="preserve"> </w:t>
      </w:r>
      <w:r>
        <w:rPr>
          <w:i/>
        </w:rPr>
        <w:t>ligeras</w:t>
      </w:r>
      <w:r>
        <w:t>” y en la UNE 38002/1M: “</w:t>
      </w:r>
      <w:r>
        <w:rPr>
          <w:i/>
        </w:rPr>
        <w:t>Definición y designación del estado de tratamiento de las aleaciones ligeras”.</w:t>
      </w:r>
    </w:p>
    <w:p w:rsidR="0071105C" w:rsidRDefault="0071105C" w:rsidP="00B71B1A">
      <w:pPr>
        <w:widowControl/>
        <w:autoSpaceDE/>
        <w:autoSpaceDN/>
        <w:adjustRightInd/>
        <w:spacing w:line="276" w:lineRule="auto"/>
        <w:ind w:right="-285"/>
        <w:jc w:val="left"/>
      </w:pPr>
      <w:r>
        <w:br w:type="page"/>
      </w:r>
    </w:p>
    <w:p w:rsidR="00C7085E" w:rsidRDefault="00C7085E" w:rsidP="00B71B1A">
      <w:pPr>
        <w:widowControl/>
        <w:numPr>
          <w:ilvl w:val="0"/>
          <w:numId w:val="12"/>
        </w:numPr>
        <w:spacing w:before="120" w:after="240" w:line="276" w:lineRule="auto"/>
        <w:ind w:right="-285"/>
      </w:pPr>
      <w:r>
        <w:lastRenderedPageBreak/>
        <w:t>Carpintería de PVC</w:t>
      </w:r>
    </w:p>
    <w:p w:rsidR="00C7085E" w:rsidRDefault="00C7085E" w:rsidP="00B71B1A">
      <w:pPr>
        <w:spacing w:before="120" w:after="240" w:line="276" w:lineRule="auto"/>
        <w:ind w:right="-285"/>
        <w:rPr>
          <w:i/>
        </w:rPr>
      </w:pPr>
      <w:r>
        <w:t>Los perfiles a emplear serán de PVC de alta tenacidad, obtenido por extrusión, resistente al choque incluso en frío y estable a la intemperie y deberá ser conforme a las especificaciones establecidas para el mismo en la norma UNE-EN 12608: “</w:t>
      </w:r>
      <w:r>
        <w:rPr>
          <w:i/>
        </w:rPr>
        <w:t>Perfiles de poli (cloruro de vinilo) no plastificado (PVC-U) para la fabricación de ventanas y de puertas. Clasificación, requisitos y métodos de ensayo.</w:t>
      </w:r>
    </w:p>
    <w:p w:rsidR="00C7085E" w:rsidRDefault="00C7085E" w:rsidP="00B71B1A">
      <w:pPr>
        <w:spacing w:before="120" w:after="240" w:line="276" w:lineRule="auto"/>
        <w:ind w:right="-285"/>
        <w:rPr>
          <w:i/>
        </w:rPr>
      </w:pPr>
      <w:r>
        <w:t>Las dimensiones y diseño de los perfiles asegurarán la suficiente resistencia e indeformabilidad de la carpintería, de manera que se garantice la estanqueidad y una atenuación acústica tal que, se dé cumplimiento a lo dispuesto en el Código Técnico de la Edificación (CTE).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widowControl/>
        <w:numPr>
          <w:ilvl w:val="0"/>
          <w:numId w:val="12"/>
        </w:numPr>
        <w:spacing w:before="120" w:after="240" w:line="276" w:lineRule="auto"/>
        <w:ind w:left="714" w:right="-285" w:hanging="357"/>
      </w:pPr>
      <w:r>
        <w:t>Carpintería de madera</w:t>
      </w:r>
    </w:p>
    <w:p w:rsidR="00C7085E" w:rsidRDefault="00C7085E" w:rsidP="00B71B1A">
      <w:pPr>
        <w:spacing w:before="120" w:after="240" w:line="276" w:lineRule="auto"/>
        <w:ind w:right="-285"/>
      </w:pPr>
      <w:r>
        <w:t>La ejecución se realizará según la Norma Tecnológica de Edificación NTE-PPM. "Particiones. Puertas de madera", sin perjuicio de lo especificado en el Código Técnico de la Edificación (CTE).</w:t>
      </w:r>
    </w:p>
    <w:p w:rsidR="00C7085E" w:rsidRDefault="00C7085E" w:rsidP="00B71B1A">
      <w:pPr>
        <w:keepNext/>
        <w:widowControl/>
        <w:numPr>
          <w:ilvl w:val="0"/>
          <w:numId w:val="12"/>
        </w:numPr>
        <w:spacing w:before="120" w:after="240" w:line="276" w:lineRule="auto"/>
        <w:ind w:left="714" w:right="-285" w:hanging="357"/>
      </w:pPr>
      <w:r>
        <w:t>Carpintería metálica</w:t>
      </w:r>
    </w:p>
    <w:p w:rsidR="00C7085E" w:rsidRDefault="00C7085E" w:rsidP="00B71B1A">
      <w:pPr>
        <w:keepNext/>
        <w:spacing w:before="120" w:after="240" w:line="276" w:lineRule="auto"/>
        <w:ind w:right="-285"/>
      </w:pPr>
      <w:r>
        <w:t>La ejecución se realizará según la Norma Tecnológica de la Edificación NTE-FCA "Fachadas de carpintería de acero", o de acuerdo a la NTE-FCL “"Fachadas de carpintería de aleaciones ligeras”, según proceda. En ambos casos, será de cumplimiento lo que respecto a las condiciones de ejecución se especifique en el Código Técnico de la Edificación (CTE).</w:t>
      </w:r>
    </w:p>
    <w:p w:rsidR="00C7085E" w:rsidRDefault="00C7085E" w:rsidP="00B71B1A">
      <w:pPr>
        <w:widowControl/>
        <w:numPr>
          <w:ilvl w:val="0"/>
          <w:numId w:val="12"/>
        </w:numPr>
        <w:spacing w:before="120" w:after="240" w:line="276" w:lineRule="auto"/>
        <w:ind w:left="714" w:right="-285" w:hanging="357"/>
      </w:pPr>
      <w:r>
        <w:t>Carpintería de PVC</w:t>
      </w:r>
    </w:p>
    <w:p w:rsidR="00C7085E" w:rsidRDefault="00C7085E" w:rsidP="00B71B1A">
      <w:pPr>
        <w:spacing w:before="120" w:after="240" w:line="276" w:lineRule="auto"/>
        <w:ind w:right="-285"/>
      </w:pPr>
      <w:r>
        <w:t>Los elementos de carpintería se montarán sobre premarcos metálicos, atornillando los marcos a éstos, o por mediación de zarpas (anclas) o tacos expansores, de tal forma que los marcos queden libres de tensiones y puedan soportar sin riesgo alguno, los cambios de temperatura, los movimientos de la obra y las presiones de viento.</w:t>
      </w:r>
    </w:p>
    <w:p w:rsidR="00C7085E" w:rsidRDefault="00C7085E" w:rsidP="00B71B1A">
      <w:pPr>
        <w:spacing w:before="120" w:after="240" w:line="276" w:lineRule="auto"/>
        <w:ind w:right="-285"/>
      </w:pPr>
      <w:r>
        <w:t>La distancia máxima entre dos puntos de sujeción no será superior a quinientos milímetros (500 mm).</w:t>
      </w:r>
    </w:p>
    <w:p w:rsidR="00C7085E" w:rsidRDefault="00C7085E" w:rsidP="00B71B1A">
      <w:pPr>
        <w:spacing w:before="120" w:after="240" w:line="276" w:lineRule="auto"/>
        <w:ind w:right="-285"/>
      </w:pPr>
      <w:r>
        <w:t>Los herrajes serán de materiales de primera calidad (acero bicromatado/cincado o acero inoxidable), cuyas piezas hayan sido diseñadas para sistemas de PVC. Los herrajes se montarán con tornillos especiales con rosca de PVC.</w:t>
      </w:r>
    </w:p>
    <w:p w:rsidR="00C7085E" w:rsidRDefault="00C7085E" w:rsidP="00B71B1A">
      <w:pPr>
        <w:spacing w:before="120" w:after="240" w:line="276" w:lineRule="auto"/>
        <w:ind w:right="-285"/>
      </w:pPr>
      <w:r>
        <w:t>Los perfiles de marco y hoja se soldarán a inglete en las esquinas, teniendo que cumplir la calidad de la soldadura los requisitos de la norma UNE-EN 12608. Las uniones de travesaños a marcos u hojas, o entre sí, se pueden hacer por soldadura o mecánicamente, utilizando topes de unión con sus placas o con zapatas de estanquidad.</w:t>
      </w:r>
    </w:p>
    <w:p w:rsidR="00C7085E" w:rsidRDefault="00C7085E" w:rsidP="00B71B1A">
      <w:pPr>
        <w:spacing w:before="120" w:after="240" w:line="276" w:lineRule="auto"/>
        <w:ind w:right="-285"/>
      </w:pPr>
      <w:r>
        <w:lastRenderedPageBreak/>
        <w:t xml:space="preserve">La holgura entre marco y muro se rellenará con espuma de poliuretano (PU) de alta densidad, teniendo en cuenta el modo de empleo de la misma especificado por el fabricante Después de la expansión de la espuma, se recortará ésta, obteniendo así un canal para el sellado exterior con silicona neutra o masilla de poliuretano, apropiados para PVC/ladrillo y/o mortero de cemento.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keepNext/>
        <w:widowControl/>
        <w:numPr>
          <w:ilvl w:val="0"/>
          <w:numId w:val="12"/>
        </w:numPr>
        <w:spacing w:before="120" w:after="240" w:line="276" w:lineRule="auto"/>
        <w:ind w:left="714" w:right="-285" w:hanging="357"/>
      </w:pPr>
      <w:r>
        <w:t>Carpintería de madera</w:t>
      </w:r>
    </w:p>
    <w:p w:rsidR="00C7085E" w:rsidRDefault="00C7085E" w:rsidP="00B71B1A">
      <w:pPr>
        <w:spacing w:before="120" w:after="240" w:line="276" w:lineRule="auto"/>
        <w:ind w:right="-285"/>
      </w:pPr>
      <w:r>
        <w:t>Se exigirá al fabricante certificado de garantía sobre:</w:t>
      </w:r>
    </w:p>
    <w:tbl>
      <w:tblPr>
        <w:tblStyle w:val="Tablaconcuadrcula"/>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573"/>
      </w:tblGrid>
      <w:tr w:rsidR="00C7085E" w:rsidTr="00C7085E">
        <w:tc>
          <w:tcPr>
            <w:tcW w:w="4395" w:type="dxa"/>
            <w:hideMark/>
          </w:tcPr>
          <w:p w:rsidR="00C7085E" w:rsidRDefault="00C7085E" w:rsidP="00B71B1A">
            <w:pPr>
              <w:spacing w:before="120" w:after="240" w:line="276" w:lineRule="auto"/>
              <w:ind w:right="-285"/>
            </w:pPr>
            <w:r>
              <w:t>Humedad:</w:t>
            </w:r>
          </w:p>
        </w:tc>
        <w:tc>
          <w:tcPr>
            <w:tcW w:w="3573" w:type="dxa"/>
            <w:hideMark/>
          </w:tcPr>
          <w:p w:rsidR="00C7085E" w:rsidRDefault="00C7085E" w:rsidP="00B71B1A">
            <w:pPr>
              <w:spacing w:before="120" w:after="240" w:line="276" w:lineRule="auto"/>
              <w:ind w:right="-285"/>
            </w:pPr>
            <w:r>
              <w:t>Según UNE-EN 1121</w:t>
            </w:r>
          </w:p>
        </w:tc>
      </w:tr>
      <w:tr w:rsidR="00C7085E" w:rsidTr="00C7085E">
        <w:tc>
          <w:tcPr>
            <w:tcW w:w="4395" w:type="dxa"/>
            <w:hideMark/>
          </w:tcPr>
          <w:p w:rsidR="00C7085E" w:rsidRDefault="00C7085E" w:rsidP="00B71B1A">
            <w:pPr>
              <w:spacing w:before="120" w:after="240" w:line="276" w:lineRule="auto"/>
              <w:ind w:right="-285"/>
            </w:pPr>
            <w:r>
              <w:t>Dimensiones</w:t>
            </w:r>
          </w:p>
        </w:tc>
        <w:tc>
          <w:tcPr>
            <w:tcW w:w="3573" w:type="dxa"/>
            <w:hideMark/>
          </w:tcPr>
          <w:p w:rsidR="00C7085E" w:rsidRDefault="00C7085E" w:rsidP="00B71B1A">
            <w:pPr>
              <w:spacing w:before="120" w:after="240" w:line="276" w:lineRule="auto"/>
              <w:ind w:right="-285"/>
            </w:pPr>
            <w:r>
              <w:t>Según UNE-EN   951</w:t>
            </w:r>
          </w:p>
        </w:tc>
      </w:tr>
      <w:tr w:rsidR="00C7085E" w:rsidTr="00C7085E">
        <w:tc>
          <w:tcPr>
            <w:tcW w:w="4395" w:type="dxa"/>
            <w:hideMark/>
          </w:tcPr>
          <w:p w:rsidR="00C7085E" w:rsidRDefault="00C7085E" w:rsidP="00B71B1A">
            <w:pPr>
              <w:spacing w:before="120" w:after="240" w:line="276" w:lineRule="auto"/>
              <w:ind w:right="-285"/>
            </w:pPr>
            <w:r>
              <w:t>Alabeo y curvatura</w:t>
            </w:r>
          </w:p>
        </w:tc>
        <w:tc>
          <w:tcPr>
            <w:tcW w:w="3573" w:type="dxa"/>
            <w:hideMark/>
          </w:tcPr>
          <w:p w:rsidR="00C7085E" w:rsidRDefault="00C7085E" w:rsidP="00B71B1A">
            <w:pPr>
              <w:spacing w:before="120" w:after="240" w:line="276" w:lineRule="auto"/>
              <w:ind w:right="-285"/>
            </w:pPr>
            <w:r>
              <w:t>Según UNE-EN   952</w:t>
            </w:r>
          </w:p>
        </w:tc>
      </w:tr>
      <w:tr w:rsidR="00C7085E" w:rsidTr="00C7085E">
        <w:tc>
          <w:tcPr>
            <w:tcW w:w="4395" w:type="dxa"/>
            <w:hideMark/>
          </w:tcPr>
          <w:p w:rsidR="00C7085E" w:rsidRDefault="00C7085E" w:rsidP="00B71B1A">
            <w:pPr>
              <w:spacing w:before="120" w:after="240" w:line="276" w:lineRule="auto"/>
              <w:ind w:right="-285"/>
            </w:pPr>
            <w:r>
              <w:t>Arranque de tornillos</w:t>
            </w:r>
          </w:p>
        </w:tc>
        <w:tc>
          <w:tcPr>
            <w:tcW w:w="3573" w:type="dxa"/>
            <w:hideMark/>
          </w:tcPr>
          <w:p w:rsidR="00C7085E" w:rsidRDefault="00C7085E" w:rsidP="00B71B1A">
            <w:pPr>
              <w:spacing w:before="120" w:after="240" w:line="276" w:lineRule="auto"/>
              <w:ind w:right="-285"/>
            </w:pPr>
            <w:r>
              <w:t>Según UNE 56803</w:t>
            </w:r>
          </w:p>
        </w:tc>
      </w:tr>
      <w:tr w:rsidR="00C7085E" w:rsidTr="00C7085E">
        <w:tc>
          <w:tcPr>
            <w:tcW w:w="4395" w:type="dxa"/>
            <w:hideMark/>
          </w:tcPr>
          <w:p w:rsidR="00C7085E" w:rsidRDefault="00C7085E" w:rsidP="00B71B1A">
            <w:pPr>
              <w:spacing w:before="120" w:after="240" w:line="276" w:lineRule="auto"/>
              <w:ind w:right="-285"/>
            </w:pPr>
            <w:r>
              <w:t>Resistencia a las variaciones de humedad</w:t>
            </w:r>
          </w:p>
        </w:tc>
        <w:tc>
          <w:tcPr>
            <w:tcW w:w="3573" w:type="dxa"/>
            <w:hideMark/>
          </w:tcPr>
          <w:p w:rsidR="00C7085E" w:rsidRDefault="00C7085E" w:rsidP="00B71B1A">
            <w:pPr>
              <w:spacing w:before="120" w:after="240" w:line="276" w:lineRule="auto"/>
              <w:ind w:right="-285"/>
            </w:pPr>
            <w:r>
              <w:t>Según UNE 56803</w:t>
            </w:r>
          </w:p>
        </w:tc>
      </w:tr>
    </w:tbl>
    <w:p w:rsidR="00C7085E" w:rsidRDefault="00C7085E" w:rsidP="00B71B1A">
      <w:pPr>
        <w:spacing w:before="120" w:after="240" w:line="276" w:lineRule="auto"/>
        <w:ind w:right="-285"/>
      </w:pPr>
      <w:r>
        <w:t>Si los materiales poseen sello de calidad homologado y vigente, los ensayos no serán necesarios.</w:t>
      </w:r>
    </w:p>
    <w:p w:rsidR="00C7085E" w:rsidRDefault="00C7085E" w:rsidP="00B71B1A">
      <w:pPr>
        <w:spacing w:before="120" w:after="240" w:line="276" w:lineRule="auto"/>
        <w:ind w:right="-285"/>
        <w:rPr>
          <w:u w:val="single"/>
        </w:rPr>
      </w:pPr>
      <w:r>
        <w:rPr>
          <w:u w:val="single"/>
        </w:rPr>
        <w:t>Control de calidad de la ejecución</w:t>
      </w:r>
    </w:p>
    <w:p w:rsidR="00C7085E" w:rsidRDefault="00C7085E" w:rsidP="00B71B1A">
      <w:pPr>
        <w:spacing w:before="120" w:after="240" w:line="276" w:lineRule="auto"/>
        <w:ind w:right="-285"/>
      </w:pPr>
      <w:r>
        <w:t>El control de la ejecución se realizará según la Norma Tecnológica de Edificación NTE-PPM. "Particiones. Puertas de madera".</w:t>
      </w:r>
    </w:p>
    <w:p w:rsidR="00C7085E" w:rsidRDefault="00C7085E" w:rsidP="00B71B1A">
      <w:pPr>
        <w:widowControl/>
        <w:numPr>
          <w:ilvl w:val="0"/>
          <w:numId w:val="12"/>
        </w:numPr>
        <w:spacing w:before="120" w:after="240" w:line="276" w:lineRule="auto"/>
        <w:ind w:left="714" w:right="-285" w:hanging="357"/>
      </w:pPr>
      <w:r>
        <w:t>Carpintería metálica</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pPr>
      <w:r>
        <w:t>Comprende el control de la documentación de los suministros, incluida la correspondiente al marcado CE cuando sea pertinente y el control mediante distintivos de calidad.</w:t>
      </w:r>
    </w:p>
    <w:p w:rsidR="00C7085E" w:rsidRDefault="00C7085E" w:rsidP="00B71B1A">
      <w:pPr>
        <w:spacing w:before="120" w:after="240" w:line="276" w:lineRule="auto"/>
        <w:ind w:right="-285"/>
        <w:rPr>
          <w:u w:val="single"/>
        </w:rPr>
      </w:pPr>
      <w:r>
        <w:rPr>
          <w:u w:val="single"/>
        </w:rPr>
        <w:t>Control de calidad de la ejecución</w:t>
      </w:r>
    </w:p>
    <w:p w:rsidR="00C7085E" w:rsidRDefault="00C7085E" w:rsidP="00B71B1A">
      <w:pPr>
        <w:spacing w:before="120" w:after="240" w:line="276" w:lineRule="auto"/>
        <w:ind w:right="-285"/>
      </w:pPr>
      <w:r>
        <w:t xml:space="preserve">El control de la ejecución se realizará según la Norma Tecnológica de la Edificación NTE-FCA "Fachadas de carpintería de acero", o de acuerdo a la NTE-FCL “"Fachadas de carpintería de aleaciones ligeras”, según proceda. </w:t>
      </w:r>
    </w:p>
    <w:p w:rsidR="00C7085E" w:rsidRDefault="00C7085E" w:rsidP="00B71B1A">
      <w:pPr>
        <w:widowControl/>
        <w:numPr>
          <w:ilvl w:val="0"/>
          <w:numId w:val="12"/>
        </w:numPr>
        <w:spacing w:before="120" w:after="240" w:line="276" w:lineRule="auto"/>
        <w:ind w:left="714" w:right="-285" w:hanging="357"/>
      </w:pPr>
      <w:r>
        <w:t>Carpintería de PVC</w:t>
      </w:r>
    </w:p>
    <w:p w:rsidR="00C7085E" w:rsidRDefault="00C7085E" w:rsidP="00B71B1A">
      <w:pPr>
        <w:spacing w:before="120" w:after="240" w:line="276" w:lineRule="auto"/>
        <w:ind w:right="-285"/>
        <w:rPr>
          <w:u w:val="single"/>
        </w:rPr>
      </w:pPr>
      <w:r>
        <w:rPr>
          <w:u w:val="single"/>
        </w:rPr>
        <w:t>Control de calidad de la fabricación</w:t>
      </w:r>
    </w:p>
    <w:p w:rsidR="00C7085E" w:rsidRDefault="00C7085E" w:rsidP="00B71B1A">
      <w:pPr>
        <w:spacing w:before="120" w:after="240" w:line="276" w:lineRule="auto"/>
        <w:ind w:right="-285"/>
        <w:rPr>
          <w:i/>
        </w:rPr>
      </w:pPr>
      <w:r>
        <w:lastRenderedPageBreak/>
        <w:t xml:space="preserve">La carpintería de PVC deberá cumplir las siguientes normas: UNE-EN 12608, UNE-EN ISO 1183-2: </w:t>
      </w:r>
      <w:r>
        <w:rPr>
          <w:i/>
        </w:rPr>
        <w:t xml:space="preserve">“Plásticos. Métodos para determinar la densidad de plásticos no celulares. Parte 2: Método de la columna por gradiente de densidades”, </w:t>
      </w:r>
      <w:r>
        <w:t xml:space="preserve">UNE-EN ISO 527-1: </w:t>
      </w:r>
      <w:r>
        <w:rPr>
          <w:i/>
        </w:rPr>
        <w:t>“Plásticos. Determinación de las propiedades en tracción. Parte 1: Principios generales”</w:t>
      </w:r>
      <w:r>
        <w:t xml:space="preserve"> y la UNE-EN ISO 10077: </w:t>
      </w:r>
      <w:r>
        <w:rPr>
          <w:i/>
        </w:rPr>
        <w:t>“Prestaciones térmicas de ventanas, puertas y persianas. Cálculo del coeficiente de transmitancia térmica”.</w:t>
      </w:r>
    </w:p>
    <w:p w:rsidR="00C7085E" w:rsidRDefault="00C7085E" w:rsidP="00B71B1A">
      <w:pPr>
        <w:spacing w:before="120" w:after="240" w:line="276" w:lineRule="auto"/>
        <w:ind w:right="-285"/>
      </w:pPr>
      <w:r>
        <w:t>Además la Dirección de Obra comprobará la documentación de los suministros, incluida la correspondiente al marcado CE cuando sea pertinente y el control mediante distintivos de calidad.</w:t>
      </w:r>
    </w:p>
    <w:p w:rsidR="00C7085E" w:rsidRDefault="00C7085E" w:rsidP="00B71B1A">
      <w:pPr>
        <w:keepNext/>
        <w:keepLines/>
        <w:spacing w:before="120" w:after="240" w:line="276" w:lineRule="auto"/>
        <w:ind w:right="-285"/>
        <w:rPr>
          <w:u w:val="single"/>
        </w:rPr>
      </w:pPr>
      <w:r>
        <w:rPr>
          <w:u w:val="single"/>
        </w:rPr>
        <w:t>Control de calidad de la ejecución</w:t>
      </w:r>
    </w:p>
    <w:p w:rsidR="00C7085E" w:rsidRDefault="00C7085E" w:rsidP="00B71B1A">
      <w:pPr>
        <w:keepNext/>
        <w:keepLines/>
        <w:spacing w:before="120" w:after="240" w:line="276" w:lineRule="auto"/>
        <w:ind w:right="-285"/>
        <w:rPr>
          <w:i/>
        </w:rPr>
      </w:pPr>
      <w:r>
        <w:t>El montaje en obra y las tolerancias de los huecos se ajustarán en todo momento a las especificaciones de la Norma UNE 85219: "</w:t>
      </w:r>
      <w:r>
        <w:rPr>
          <w:i/>
        </w:rPr>
        <w:t>Ventanas. Colocación en obra".</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Tolerancias de planimetría del cerco o precerco:</w:t>
      </w:r>
    </w:p>
    <w:p w:rsidR="00C7085E" w:rsidRDefault="00C7085E" w:rsidP="00B71B1A">
      <w:pPr>
        <w:pStyle w:val="Prrafodelista"/>
        <w:numPr>
          <w:ilvl w:val="0"/>
          <w:numId w:val="25"/>
        </w:numPr>
        <w:spacing w:before="120" w:after="240"/>
        <w:ind w:left="1491" w:right="-285" w:hanging="357"/>
        <w:rPr>
          <w:rFonts w:ascii="Arial" w:hAnsi="Arial" w:cs="Arial"/>
        </w:rPr>
      </w:pPr>
      <w:r>
        <w:rPr>
          <w:rFonts w:ascii="Arial" w:hAnsi="Arial" w:cs="Arial"/>
        </w:rPr>
        <w:t>Para perfiles de más de dos metros (2 m) la flecha será inferior o igual a tres milímetros (3 mm).</w:t>
      </w:r>
    </w:p>
    <w:p w:rsidR="00C7085E" w:rsidRDefault="00C7085E" w:rsidP="00B71B1A">
      <w:pPr>
        <w:pStyle w:val="Prrafodelista"/>
        <w:numPr>
          <w:ilvl w:val="0"/>
          <w:numId w:val="25"/>
        </w:numPr>
        <w:spacing w:before="120" w:after="240"/>
        <w:ind w:left="1491" w:right="-285" w:hanging="357"/>
        <w:rPr>
          <w:rFonts w:ascii="Arial" w:hAnsi="Arial" w:cs="Arial"/>
        </w:rPr>
      </w:pPr>
      <w:r>
        <w:rPr>
          <w:rFonts w:ascii="Arial" w:hAnsi="Arial" w:cs="Arial"/>
        </w:rPr>
        <w:t>Para perfiles iguales o menores dos metros (2 m) la flecha será inferior o igual a dos milímetros (2 mm).</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Tolerancias para el descuadre, con diferencia entre diagonales no mayor:</w:t>
      </w:r>
    </w:p>
    <w:p w:rsidR="00C7085E" w:rsidRDefault="00C7085E" w:rsidP="00B71B1A">
      <w:pPr>
        <w:pStyle w:val="Prrafodelista"/>
        <w:numPr>
          <w:ilvl w:val="0"/>
          <w:numId w:val="25"/>
        </w:numPr>
        <w:spacing w:before="120" w:after="240"/>
        <w:ind w:left="1491" w:right="-285" w:hanging="357"/>
        <w:rPr>
          <w:rFonts w:ascii="Arial" w:hAnsi="Arial" w:cs="Arial"/>
        </w:rPr>
      </w:pPr>
      <w:r>
        <w:rPr>
          <w:rFonts w:ascii="Arial" w:hAnsi="Arial" w:cs="Arial"/>
        </w:rPr>
        <w:t>De cinco milímetros (5 mm) para cercos o precercos con perfiles mayores de dos metros (2 m).</w:t>
      </w:r>
    </w:p>
    <w:p w:rsidR="00C7085E" w:rsidRDefault="00C7085E" w:rsidP="00B71B1A">
      <w:pPr>
        <w:pStyle w:val="Prrafodelista"/>
        <w:numPr>
          <w:ilvl w:val="0"/>
          <w:numId w:val="25"/>
        </w:numPr>
        <w:spacing w:before="120" w:after="240"/>
        <w:ind w:left="1491" w:right="-285" w:hanging="357"/>
        <w:rPr>
          <w:rFonts w:ascii="Arial" w:hAnsi="Arial" w:cs="Arial"/>
        </w:rPr>
      </w:pPr>
      <w:r>
        <w:rPr>
          <w:rFonts w:ascii="Arial" w:hAnsi="Arial" w:cs="Arial"/>
        </w:rPr>
        <w:t>De tres milímetros (3 mm) para cercos o precercos con perfiles menores o iguales a dos metros (2 m).</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Tolerancias entre cerco y precerco:</w:t>
      </w:r>
    </w:p>
    <w:p w:rsidR="00C7085E" w:rsidRDefault="00C7085E" w:rsidP="00B71B1A">
      <w:pPr>
        <w:pStyle w:val="Prrafodelista"/>
        <w:numPr>
          <w:ilvl w:val="0"/>
          <w:numId w:val="25"/>
        </w:numPr>
        <w:spacing w:before="120" w:after="240"/>
        <w:ind w:left="1491" w:right="-285" w:hanging="357"/>
        <w:rPr>
          <w:rFonts w:ascii="Arial" w:hAnsi="Arial" w:cs="Arial"/>
        </w:rPr>
      </w:pPr>
      <w:r>
        <w:rPr>
          <w:rFonts w:ascii="Arial" w:hAnsi="Arial" w:cs="Arial"/>
        </w:rPr>
        <w:t>En cualquier punto de unión entre ambos, la holgura estará entre cero y quince milímetros (0 y 15 mm).</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Medición y abono</w:t>
      </w:r>
    </w:p>
    <w:p w:rsidR="00C7085E" w:rsidRDefault="00C7085E" w:rsidP="00B71B1A">
      <w:pPr>
        <w:spacing w:before="120" w:after="240" w:line="276" w:lineRule="auto"/>
        <w:ind w:right="-285"/>
      </w:pPr>
      <w:r>
        <w:t>La carpintería de cualquier material, puertas y ventanas se medirán por metros cuadrados (m</w:t>
      </w:r>
      <w:r>
        <w:rPr>
          <w:vertAlign w:val="superscript"/>
        </w:rPr>
        <w:t>2</w:t>
      </w:r>
      <w:r>
        <w:t>) de la superficie del hueco, esto es, por la superficie del hueco vista fuera de los muros o tabiques.</w:t>
      </w:r>
    </w:p>
    <w:p w:rsidR="00C7085E" w:rsidRDefault="00C7085E" w:rsidP="00B71B1A">
      <w:pPr>
        <w:spacing w:before="120" w:after="240" w:line="276" w:lineRule="auto"/>
        <w:ind w:right="-285"/>
      </w:pPr>
      <w:r>
        <w:t>El precio de abono será el que corresponda de los que figuren en el Cuadro de Precios vigente de Canal de Isabel II Gestión.</w:t>
      </w:r>
    </w:p>
    <w:p w:rsidR="00C7085E" w:rsidRDefault="00C7085E" w:rsidP="00B71B1A">
      <w:pPr>
        <w:spacing w:before="120" w:after="240" w:line="276" w:lineRule="auto"/>
        <w:ind w:right="-285"/>
      </w:pPr>
      <w:r>
        <w:t>En los precios está incluido el suministro y la colocación, incluso el premarco, sellado, juntas, cortes, uniones de perfiles, fijaciones, herrajes de colgar, etc. y todos los materiales y medios auxiliares necesarios para la correcta ejecución de la unidad correspondiente.</w:t>
      </w:r>
    </w:p>
    <w:p w:rsidR="00C7085E" w:rsidRDefault="00C7085E" w:rsidP="00B71B1A">
      <w:pPr>
        <w:spacing w:before="120" w:after="240" w:line="276" w:lineRule="auto"/>
        <w:ind w:right="-285"/>
      </w:pPr>
      <w:r>
        <w:t>Las persianas se medirán con el mismo criterio anterior, por metros cuadrados (m</w:t>
      </w:r>
      <w:r>
        <w:rPr>
          <w:vertAlign w:val="superscript"/>
        </w:rPr>
        <w:t>2</w:t>
      </w:r>
      <w:r>
        <w:t xml:space="preserve">) de la superficie del hueco, y se abonarán, en función del material, aplicando el precio que corresponda de </w:t>
      </w:r>
      <w:bookmarkStart w:id="218" w:name="_Toc414021818"/>
      <w:r>
        <w:t>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219" w:name="_Toc448741439"/>
      <w:r>
        <w:lastRenderedPageBreak/>
        <w:t>Vidrios</w:t>
      </w:r>
      <w:bookmarkEnd w:id="218"/>
      <w:bookmarkEnd w:id="219"/>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Los materiales a utilizar cumplirán las condiciones establecidas en el Código Técnico de la Edificación (CTE).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 ejecución se realizará según la Norma Tecnológica de Edificación NTE-FV, sin perjuicio de las condiciones especificadas en el Código Técnico de la Edificación (CTE).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Para el control de calidad, el Adjudicatario se atendrá a los ensayos y especificaciones de conformidad establecidos en el Código Técnico de la Edificación (CTE).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Se medirán y abonarán por metros cuadrados (m</w:t>
      </w:r>
      <w:r>
        <w:rPr>
          <w:vertAlign w:val="superscript"/>
        </w:rPr>
        <w:t>2</w:t>
      </w:r>
      <w:r>
        <w:t>) de superficie realmente acristalada, al precio que corresponda de los que figuren en el Cuadro de Precios vigente de Canal de Isabel II Gestión.</w:t>
      </w:r>
    </w:p>
    <w:p w:rsidR="00C7085E" w:rsidRDefault="00C7085E" w:rsidP="00B71B1A">
      <w:pPr>
        <w:pStyle w:val="Ttulo3"/>
        <w:widowControl/>
        <w:numPr>
          <w:ilvl w:val="2"/>
          <w:numId w:val="5"/>
        </w:numPr>
        <w:tabs>
          <w:tab w:val="left" w:pos="567"/>
        </w:tabs>
        <w:suppressAutoHyphens/>
        <w:snapToGrid w:val="0"/>
        <w:spacing w:before="120" w:after="240" w:line="276" w:lineRule="auto"/>
        <w:ind w:left="1701" w:right="-285" w:hanging="1701"/>
      </w:pPr>
      <w:bookmarkStart w:id="220" w:name="_Toc448741440"/>
      <w:r>
        <w:t xml:space="preserve">Instalación </w:t>
      </w:r>
      <w:bookmarkStart w:id="221" w:name="_Toc414019737"/>
      <w:bookmarkStart w:id="222" w:name="_Toc414020154"/>
      <w:bookmarkStart w:id="223" w:name="_Toc414020572"/>
      <w:bookmarkStart w:id="224" w:name="_Toc414020989"/>
      <w:bookmarkStart w:id="225" w:name="_Toc414021406"/>
      <w:bookmarkStart w:id="226" w:name="_Toc414021826"/>
      <w:bookmarkStart w:id="227" w:name="_Toc414207468"/>
      <w:bookmarkStart w:id="228" w:name="_Toc414210295"/>
      <w:bookmarkStart w:id="229" w:name="_Toc414211071"/>
      <w:bookmarkStart w:id="230" w:name="_Toc414211433"/>
      <w:bookmarkStart w:id="231" w:name="_Toc414535478"/>
      <w:bookmarkStart w:id="232" w:name="_Toc414535913"/>
      <w:bookmarkStart w:id="233" w:name="_Toc414536715"/>
      <w:bookmarkStart w:id="234" w:name="_Toc414556655"/>
      <w:bookmarkStart w:id="235" w:name="_Toc414557044"/>
      <w:bookmarkStart w:id="236" w:name="_Toc414557433"/>
      <w:bookmarkStart w:id="237" w:name="_Toc414557826"/>
      <w:bookmarkStart w:id="238" w:name="_Toc414558224"/>
      <w:bookmarkStart w:id="239" w:name="_Toc414558629"/>
      <w:bookmarkStart w:id="240" w:name="_Toc414559433"/>
      <w:bookmarkStart w:id="241" w:name="_Toc414560239"/>
      <w:bookmarkStart w:id="242" w:name="_Toc414560642"/>
      <w:bookmarkStart w:id="243" w:name="_Toc414561047"/>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t>interior de evacuación de aguas</w:t>
      </w:r>
      <w:bookmarkEnd w:id="220"/>
    </w:p>
    <w:p w:rsidR="00C7085E" w:rsidRDefault="00C7085E" w:rsidP="00B71B1A">
      <w:pPr>
        <w:keepNext/>
        <w:spacing w:before="120" w:after="240" w:line="276" w:lineRule="auto"/>
        <w:ind w:right="-285"/>
      </w:pPr>
      <w:r>
        <w:t>La instalación interior de evacuación de aguas deberá cumplir con las especificaciones establecidas en la normativa siguiente:</w:t>
      </w:r>
    </w:p>
    <w:p w:rsidR="00C7085E" w:rsidRDefault="00C7085E" w:rsidP="00B71B1A">
      <w:pPr>
        <w:widowControl/>
        <w:numPr>
          <w:ilvl w:val="0"/>
          <w:numId w:val="12"/>
        </w:numPr>
        <w:suppressAutoHyphens/>
        <w:spacing w:before="120" w:after="240" w:line="276" w:lineRule="auto"/>
        <w:ind w:left="714" w:right="-285" w:hanging="357"/>
      </w:pPr>
      <w:r>
        <w:t>Real Decreto 314/2006, de 17 de marzo, por el que se aprueba el Código Técnico de la Edificación y, en concreto, su Documento Básico HS 5: Evacuación de aguas.</w:t>
      </w:r>
    </w:p>
    <w:p w:rsidR="00C7085E" w:rsidRDefault="00C7085E" w:rsidP="00B71B1A">
      <w:pPr>
        <w:spacing w:before="120" w:after="240" w:line="276" w:lineRule="auto"/>
        <w:ind w:right="-285"/>
      </w:pPr>
      <w:r>
        <w:t>Las instalaciones interiores de evacuación de aguas se ejecutarán con arreglo a la legislación vigente, por medio de empresas instaladoras capacitadas para el ejercicio de la actividad.</w:t>
      </w:r>
    </w:p>
    <w:p w:rsidR="00C7085E" w:rsidRDefault="00C7085E" w:rsidP="00B71B1A">
      <w:pPr>
        <w:spacing w:before="120" w:after="240" w:line="276" w:lineRule="auto"/>
        <w:ind w:right="-285"/>
      </w:pPr>
      <w:r>
        <w:t>Para cada instalación se elaborará una documentación técnica, en la que se pondrá de manifiesto el cumplimiento de las prescripciones reglamentarias. Ésta documentación será en forma de Proyecto suscrito por técnico facultativo competente.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bookmarkStart w:id="244" w:name="_Toc414004213"/>
      <w:bookmarkStart w:id="245" w:name="_Toc414019744"/>
      <w:bookmarkStart w:id="246" w:name="_Toc414020161"/>
      <w:bookmarkStart w:id="247" w:name="_Toc414020579"/>
      <w:bookmarkStart w:id="248" w:name="_Toc414020996"/>
      <w:bookmarkStart w:id="249" w:name="_Toc414021413"/>
      <w:bookmarkStart w:id="250" w:name="_Toc414021833"/>
      <w:bookmarkStart w:id="251" w:name="_Toc414207475"/>
      <w:bookmarkStart w:id="252" w:name="_Toc414210302"/>
      <w:bookmarkStart w:id="253" w:name="_Toc414211078"/>
      <w:bookmarkStart w:id="254" w:name="_Toc414211440"/>
      <w:bookmarkStart w:id="255" w:name="_Toc414535485"/>
      <w:bookmarkStart w:id="256" w:name="_Toc414535920"/>
      <w:bookmarkStart w:id="257" w:name="_Toc414536722"/>
      <w:bookmarkStart w:id="258" w:name="_Toc414556662"/>
      <w:bookmarkStart w:id="259" w:name="_Toc414557051"/>
      <w:bookmarkStart w:id="260" w:name="_Toc414557440"/>
      <w:bookmarkStart w:id="261" w:name="_Toc414557833"/>
      <w:bookmarkStart w:id="262" w:name="_Toc414558231"/>
      <w:bookmarkStart w:id="263" w:name="_Toc414558636"/>
      <w:bookmarkStart w:id="264" w:name="_Toc414559440"/>
      <w:bookmarkStart w:id="265" w:name="_Toc414560246"/>
      <w:bookmarkStart w:id="266" w:name="_Toc414560649"/>
      <w:bookmarkStart w:id="267" w:name="_Toc414561054"/>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C7085E" w:rsidRDefault="00C7085E" w:rsidP="00B71B1A">
      <w:pPr>
        <w:spacing w:before="120" w:after="240" w:line="276" w:lineRule="auto"/>
        <w:ind w:right="-285"/>
      </w:pPr>
      <w:r>
        <w:t>La instalación interior de evacuación de aguas se medirá y abonará conforme a las unidades que figuren en el Cuadro de Precios vigente de Canal de Isabel II Gestión.</w:t>
      </w:r>
    </w:p>
    <w:p w:rsidR="00C7085E" w:rsidRDefault="00C7085E" w:rsidP="00B71B1A">
      <w:pPr>
        <w:spacing w:before="120" w:after="240" w:line="276" w:lineRule="auto"/>
        <w:ind w:right="-285"/>
      </w:pPr>
      <w:r>
        <w:t>En los precios unitarios se consideran incluidas las ayudas de albañilería y oficios necesarios para su total acabado y montaje.</w:t>
      </w:r>
    </w:p>
    <w:p w:rsidR="0032619C" w:rsidRDefault="0032619C"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268" w:name="_Toc448741441"/>
      <w:r>
        <w:lastRenderedPageBreak/>
        <w:t>Instalaciones interiores de suministro de agua</w:t>
      </w:r>
      <w:bookmarkStart w:id="269" w:name="_Toc414019747"/>
      <w:bookmarkStart w:id="270" w:name="_Toc414020164"/>
      <w:bookmarkStart w:id="271" w:name="_Toc414020582"/>
      <w:bookmarkStart w:id="272" w:name="_Toc414020999"/>
      <w:bookmarkStart w:id="273" w:name="_Toc414021416"/>
      <w:bookmarkStart w:id="274" w:name="_Toc414021836"/>
      <w:bookmarkStart w:id="275" w:name="_Toc414207478"/>
      <w:bookmarkStart w:id="276" w:name="_Toc414210305"/>
      <w:bookmarkStart w:id="277" w:name="_Toc414211081"/>
      <w:bookmarkStart w:id="278" w:name="_Toc414211443"/>
      <w:bookmarkStart w:id="279" w:name="_Toc414535488"/>
      <w:bookmarkStart w:id="280" w:name="_Toc414535923"/>
      <w:bookmarkStart w:id="281" w:name="_Toc414536725"/>
      <w:bookmarkStart w:id="282" w:name="_Toc414556665"/>
      <w:bookmarkStart w:id="283" w:name="_Toc414557054"/>
      <w:bookmarkStart w:id="284" w:name="_Toc414557443"/>
      <w:bookmarkStart w:id="285" w:name="_Toc414557836"/>
      <w:bookmarkStart w:id="286" w:name="_Toc414558234"/>
      <w:bookmarkStart w:id="287" w:name="_Toc414558639"/>
      <w:bookmarkStart w:id="288" w:name="_Toc414559443"/>
      <w:bookmarkStart w:id="289" w:name="_Toc414560249"/>
      <w:bookmarkStart w:id="290" w:name="_Toc414560652"/>
      <w:bookmarkStart w:id="291" w:name="_Toc41456105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C7085E" w:rsidRDefault="00C7085E" w:rsidP="00B71B1A">
      <w:pPr>
        <w:spacing w:before="120" w:after="240" w:line="276" w:lineRule="auto"/>
        <w:ind w:right="-285"/>
      </w:pPr>
      <w:r>
        <w:t>Las instalaciones interiores de suministro de agua deberán cumplir con las especificaciones establecidas en la normativa siguiente:</w:t>
      </w:r>
    </w:p>
    <w:p w:rsidR="00C7085E" w:rsidRDefault="00C7085E" w:rsidP="00B71B1A">
      <w:pPr>
        <w:widowControl/>
        <w:numPr>
          <w:ilvl w:val="0"/>
          <w:numId w:val="12"/>
        </w:numPr>
        <w:suppressAutoHyphens/>
        <w:spacing w:before="120" w:after="240" w:line="276" w:lineRule="auto"/>
        <w:ind w:left="714" w:right="-285" w:hanging="357"/>
      </w:pPr>
      <w:r>
        <w:t>Real Decreto 314/2006, de 17 de marzo, por el que se aprueba el Código Técnico de la Edificación y, en concreto, su Documento Básico HS 4: Suministro de agua.</w:t>
      </w:r>
    </w:p>
    <w:p w:rsidR="00C7085E" w:rsidRDefault="00C7085E" w:rsidP="00B71B1A">
      <w:pPr>
        <w:widowControl/>
        <w:numPr>
          <w:ilvl w:val="0"/>
          <w:numId w:val="12"/>
        </w:numPr>
        <w:suppressAutoHyphens/>
        <w:spacing w:before="120" w:after="240" w:line="276" w:lineRule="auto"/>
        <w:ind w:left="714" w:right="-285" w:hanging="357"/>
      </w:pPr>
      <w:r>
        <w:t>Orden 639/2006, de 22 de marzo, de la Consejería de Economía e Innovación Tecnológica, por la que se establece el procedimiento para el registro de puesta en servicio de las instalaciones interiores de suministro de agua.</w:t>
      </w:r>
    </w:p>
    <w:p w:rsidR="00C7085E" w:rsidRDefault="00C7085E" w:rsidP="00B71B1A">
      <w:pPr>
        <w:widowControl/>
        <w:numPr>
          <w:ilvl w:val="0"/>
          <w:numId w:val="12"/>
        </w:numPr>
        <w:suppressAutoHyphens/>
        <w:spacing w:before="120" w:after="240" w:line="276" w:lineRule="auto"/>
        <w:ind w:left="714" w:right="-285" w:hanging="357"/>
      </w:pPr>
      <w:r>
        <w:t>Orden 1415/2007, de 16 de mayo, de la Consejería de Economía e Innovación Tecnológica, por la que se modifica la Orden 639/2006.</w:t>
      </w:r>
    </w:p>
    <w:p w:rsidR="00C7085E" w:rsidRDefault="00C7085E" w:rsidP="00B71B1A">
      <w:pPr>
        <w:widowControl/>
        <w:numPr>
          <w:ilvl w:val="0"/>
          <w:numId w:val="12"/>
        </w:numPr>
        <w:suppressAutoHyphens/>
        <w:spacing w:before="120" w:after="240" w:line="276" w:lineRule="auto"/>
        <w:ind w:right="-285"/>
      </w:pPr>
      <w:r>
        <w:t>Orden de 19 de noviembre de 2013 y Orden de 12 de marzo de 2014, de la Consejería de Economía y Hacienda, por las que se modifica la Orden 639/2006.</w:t>
      </w:r>
    </w:p>
    <w:p w:rsidR="00C7085E" w:rsidRDefault="00C7085E" w:rsidP="00B71B1A">
      <w:pPr>
        <w:spacing w:before="120" w:after="240" w:line="276" w:lineRule="auto"/>
        <w:ind w:right="-285"/>
      </w:pPr>
      <w:r>
        <w:t>Las instalaciones interiores de suministro de agua se ejecutarán con arreglo a la legislación vigente, por medio de empresas instaladoras autorizadas para el ejercicio de la actividad.</w:t>
      </w:r>
    </w:p>
    <w:p w:rsidR="00C7085E" w:rsidRDefault="00C7085E" w:rsidP="00B71B1A">
      <w:pPr>
        <w:spacing w:before="120" w:after="240" w:line="276" w:lineRule="auto"/>
        <w:ind w:right="-285"/>
      </w:pPr>
      <w:r>
        <w:t>Para cada instalación se elaborará una documentación técnica, en la que se pondrá de manifiesto el cumplimiento de las prescripciones reglamentarias. Ésta documentación, en función de las características de la instalación, será en forma de Proyecto suscrito por técnico facultativo competente, o mediante Memoria Técnica suscrita por instalador autorizado.</w:t>
      </w:r>
    </w:p>
    <w:p w:rsidR="00C7085E" w:rsidRDefault="00C7085E" w:rsidP="00B71B1A">
      <w:pPr>
        <w:spacing w:before="120" w:after="240" w:line="276" w:lineRule="auto"/>
        <w:ind w:right="-285"/>
      </w:pPr>
      <w:r>
        <w:t>Para cualquier instalación interior de suministro de agua, será preceptiva la autorización de la Dirección General de Industria, Energía y Minas de la Comunidad de Madrid.</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Medición y abono </w:t>
      </w:r>
      <w:bookmarkStart w:id="292" w:name="_Toc414004217"/>
      <w:bookmarkStart w:id="293" w:name="_Toc414019754"/>
      <w:bookmarkStart w:id="294" w:name="_Toc414020171"/>
      <w:bookmarkStart w:id="295" w:name="_Toc414020589"/>
      <w:bookmarkStart w:id="296" w:name="_Toc414021006"/>
      <w:bookmarkStart w:id="297" w:name="_Toc414021423"/>
      <w:bookmarkStart w:id="298" w:name="_Toc414021843"/>
      <w:bookmarkStart w:id="299" w:name="_Toc414207485"/>
      <w:bookmarkStart w:id="300" w:name="_Toc414210312"/>
      <w:bookmarkStart w:id="301" w:name="_Toc414211088"/>
      <w:bookmarkStart w:id="302" w:name="_Toc414211450"/>
      <w:bookmarkStart w:id="303" w:name="_Toc414535495"/>
      <w:bookmarkStart w:id="304" w:name="_Toc414535930"/>
      <w:bookmarkStart w:id="305" w:name="_Toc414536732"/>
      <w:bookmarkStart w:id="306" w:name="_Toc414556672"/>
      <w:bookmarkStart w:id="307" w:name="_Toc414557061"/>
      <w:bookmarkStart w:id="308" w:name="_Toc414557450"/>
      <w:bookmarkStart w:id="309" w:name="_Toc414557843"/>
      <w:bookmarkStart w:id="310" w:name="_Toc414558241"/>
      <w:bookmarkStart w:id="311" w:name="_Toc414558646"/>
      <w:bookmarkStart w:id="312" w:name="_Toc414559450"/>
      <w:bookmarkStart w:id="313" w:name="_Toc414560256"/>
      <w:bookmarkStart w:id="314" w:name="_Toc414560659"/>
      <w:bookmarkStart w:id="315" w:name="_Toc414561064"/>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sidR="00C7085E" w:rsidRDefault="00C7085E" w:rsidP="00B71B1A">
      <w:pPr>
        <w:spacing w:before="120" w:after="240" w:line="276" w:lineRule="auto"/>
        <w:ind w:right="-285"/>
      </w:pPr>
      <w:r>
        <w:t>Los distintos elementos que componen la instalación interior de suministro de agua se medirán y abonarán conforme a las unidades que figuren en el Cuadro de Precios vigente de Canal de Isabel II Gestión.</w:t>
      </w:r>
    </w:p>
    <w:p w:rsidR="00C7085E" w:rsidRDefault="00C7085E" w:rsidP="00B71B1A">
      <w:pPr>
        <w:spacing w:before="120" w:after="240" w:line="276" w:lineRule="auto"/>
        <w:ind w:right="-285"/>
      </w:pPr>
      <w:r>
        <w:t>En los precios unitarios se consideran incluidas las ayudas de albañilería y oficios necesarios para su total acabado y montaje.</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316" w:name="_Toc414004219"/>
      <w:bookmarkStart w:id="317" w:name="_Toc414019756"/>
      <w:bookmarkStart w:id="318" w:name="_Toc414020173"/>
      <w:bookmarkStart w:id="319" w:name="_Toc414020591"/>
      <w:bookmarkStart w:id="320" w:name="_Toc414021008"/>
      <w:bookmarkStart w:id="321" w:name="_Toc414021425"/>
      <w:bookmarkStart w:id="322" w:name="_Toc414021845"/>
      <w:bookmarkStart w:id="323" w:name="_Toc414207487"/>
      <w:bookmarkStart w:id="324" w:name="_Toc414210314"/>
      <w:bookmarkStart w:id="325" w:name="_Toc414211090"/>
      <w:bookmarkStart w:id="326" w:name="_Toc414211452"/>
      <w:bookmarkStart w:id="327" w:name="_Toc414535497"/>
      <w:bookmarkStart w:id="328" w:name="_Toc414535932"/>
      <w:bookmarkStart w:id="329" w:name="_Toc414536734"/>
      <w:bookmarkStart w:id="330" w:name="_Toc414556674"/>
      <w:bookmarkStart w:id="331" w:name="_Toc414557063"/>
      <w:bookmarkStart w:id="332" w:name="_Toc414557452"/>
      <w:bookmarkStart w:id="333" w:name="_Toc414557845"/>
      <w:bookmarkStart w:id="334" w:name="_Toc414558243"/>
      <w:bookmarkStart w:id="335" w:name="_Toc414558648"/>
      <w:bookmarkStart w:id="336" w:name="_Toc414559452"/>
      <w:bookmarkStart w:id="337" w:name="_Toc414560258"/>
      <w:bookmarkStart w:id="338" w:name="_Toc414560661"/>
      <w:bookmarkStart w:id="339" w:name="_Toc414561066"/>
      <w:bookmarkStart w:id="340" w:name="_Toc448741442"/>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t>Instalaciones de protección contra incendios</w:t>
      </w:r>
      <w:bookmarkStart w:id="341" w:name="_Toc414019757"/>
      <w:bookmarkStart w:id="342" w:name="_Toc414020174"/>
      <w:bookmarkStart w:id="343" w:name="_Toc414020592"/>
      <w:bookmarkStart w:id="344" w:name="_Toc414021009"/>
      <w:bookmarkStart w:id="345" w:name="_Toc414021426"/>
      <w:bookmarkStart w:id="346" w:name="_Toc414021846"/>
      <w:bookmarkStart w:id="347" w:name="_Toc414207488"/>
      <w:bookmarkStart w:id="348" w:name="_Toc414210315"/>
      <w:bookmarkStart w:id="349" w:name="_Toc414211091"/>
      <w:bookmarkStart w:id="350" w:name="_Toc414211453"/>
      <w:bookmarkStart w:id="351" w:name="_Toc414535498"/>
      <w:bookmarkStart w:id="352" w:name="_Toc414535933"/>
      <w:bookmarkStart w:id="353" w:name="_Toc414536735"/>
      <w:bookmarkStart w:id="354" w:name="_Toc414556675"/>
      <w:bookmarkStart w:id="355" w:name="_Toc414557064"/>
      <w:bookmarkStart w:id="356" w:name="_Toc414557453"/>
      <w:bookmarkStart w:id="357" w:name="_Toc414557846"/>
      <w:bookmarkStart w:id="358" w:name="_Toc414558244"/>
      <w:bookmarkStart w:id="359" w:name="_Toc414558649"/>
      <w:bookmarkStart w:id="360" w:name="_Toc414559453"/>
      <w:bookmarkStart w:id="361" w:name="_Toc414560259"/>
      <w:bookmarkStart w:id="362" w:name="_Toc414560662"/>
      <w:bookmarkStart w:id="363" w:name="_Toc414561067"/>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C7085E" w:rsidRDefault="00C7085E" w:rsidP="00B71B1A">
      <w:pPr>
        <w:keepNext/>
        <w:keepLines/>
        <w:spacing w:before="120" w:after="240" w:line="276" w:lineRule="auto"/>
        <w:ind w:right="-285"/>
      </w:pPr>
      <w:r>
        <w:t>Las instalaciones de protección contra incendios deberán cumplir con las especificaciones establecidas en la normativa siguiente:</w:t>
      </w:r>
      <w:bookmarkStart w:id="364" w:name="_Toc414019758"/>
      <w:bookmarkStart w:id="365" w:name="_Toc414020175"/>
      <w:bookmarkStart w:id="366" w:name="_Toc414020593"/>
      <w:bookmarkStart w:id="367" w:name="_Toc414021010"/>
      <w:bookmarkStart w:id="368" w:name="_Toc414021427"/>
      <w:bookmarkStart w:id="369" w:name="_Toc414021847"/>
      <w:bookmarkStart w:id="370" w:name="_Toc414207489"/>
      <w:bookmarkStart w:id="371" w:name="_Toc414210316"/>
      <w:bookmarkStart w:id="372" w:name="_Toc414211092"/>
      <w:bookmarkStart w:id="373" w:name="_Toc414211454"/>
      <w:bookmarkStart w:id="374" w:name="_Toc414535499"/>
      <w:bookmarkStart w:id="375" w:name="_Toc414535934"/>
      <w:bookmarkStart w:id="376" w:name="_Toc414536736"/>
      <w:bookmarkStart w:id="377" w:name="_Toc414556676"/>
      <w:bookmarkStart w:id="378" w:name="_Toc414557065"/>
      <w:bookmarkStart w:id="379" w:name="_Toc414557454"/>
      <w:bookmarkStart w:id="380" w:name="_Toc414557847"/>
      <w:bookmarkStart w:id="381" w:name="_Toc414558245"/>
      <w:bookmarkStart w:id="382" w:name="_Toc414558650"/>
      <w:bookmarkStart w:id="383" w:name="_Toc414559454"/>
      <w:bookmarkStart w:id="384" w:name="_Toc414560260"/>
      <w:bookmarkStart w:id="385" w:name="_Toc414560663"/>
      <w:bookmarkStart w:id="386" w:name="_Toc414561068"/>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rsidR="00C7085E" w:rsidRDefault="00C7085E" w:rsidP="00B71B1A">
      <w:pPr>
        <w:widowControl/>
        <w:numPr>
          <w:ilvl w:val="0"/>
          <w:numId w:val="8"/>
        </w:numPr>
        <w:suppressAutoHyphens/>
        <w:spacing w:before="120" w:after="240" w:line="276" w:lineRule="auto"/>
        <w:ind w:left="714" w:right="-285" w:hanging="357"/>
      </w:pPr>
      <w:r>
        <w:t>Real Decreto 1942/1993, de 5 de noviembre, por el que se aprueba el Reglamento de instalaciones de protección contra incendios (RIPCI), así como la Orden de 16 de abril de 1998 que lo desarrolla.</w:t>
      </w:r>
      <w:bookmarkStart w:id="387" w:name="_Toc414019759"/>
      <w:bookmarkStart w:id="388" w:name="_Toc414020176"/>
      <w:bookmarkStart w:id="389" w:name="_Toc414020594"/>
      <w:bookmarkStart w:id="390" w:name="_Toc414021011"/>
      <w:bookmarkStart w:id="391" w:name="_Toc414021428"/>
      <w:bookmarkStart w:id="392" w:name="_Toc414021848"/>
      <w:bookmarkStart w:id="393" w:name="_Toc414207490"/>
      <w:bookmarkStart w:id="394" w:name="_Toc414210317"/>
      <w:bookmarkStart w:id="395" w:name="_Toc414211093"/>
      <w:bookmarkStart w:id="396" w:name="_Toc414211455"/>
      <w:bookmarkStart w:id="397" w:name="_Toc414535500"/>
      <w:bookmarkStart w:id="398" w:name="_Toc414535935"/>
      <w:bookmarkStart w:id="399" w:name="_Toc414536737"/>
      <w:bookmarkStart w:id="400" w:name="_Toc414556677"/>
      <w:bookmarkStart w:id="401" w:name="_Toc414557066"/>
      <w:bookmarkStart w:id="402" w:name="_Toc414557455"/>
      <w:bookmarkStart w:id="403" w:name="_Toc414557848"/>
      <w:bookmarkStart w:id="404" w:name="_Toc414558246"/>
      <w:bookmarkStart w:id="405" w:name="_Toc414558651"/>
      <w:bookmarkStart w:id="406" w:name="_Toc414559455"/>
      <w:bookmarkStart w:id="407" w:name="_Toc414560261"/>
      <w:bookmarkStart w:id="408" w:name="_Toc414560664"/>
      <w:bookmarkStart w:id="409" w:name="_Toc414561069"/>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rsidR="00C7085E" w:rsidRDefault="00C7085E" w:rsidP="00B71B1A">
      <w:pPr>
        <w:widowControl/>
        <w:numPr>
          <w:ilvl w:val="0"/>
          <w:numId w:val="8"/>
        </w:numPr>
        <w:suppressAutoHyphens/>
        <w:spacing w:before="120" w:after="240" w:line="276" w:lineRule="auto"/>
        <w:ind w:left="714" w:right="-285" w:hanging="357"/>
      </w:pPr>
      <w:r>
        <w:lastRenderedPageBreak/>
        <w:t>Real Decreto 2267/2004 de 3 de diciembre, por el que se aprueba el Reglamento de seguridad contra incendios en los establecimientos industriales.</w:t>
      </w:r>
      <w:bookmarkStart w:id="410" w:name="_Toc414019760"/>
      <w:bookmarkStart w:id="411" w:name="_Toc414020177"/>
      <w:bookmarkStart w:id="412" w:name="_Toc414020595"/>
      <w:bookmarkStart w:id="413" w:name="_Toc414021012"/>
      <w:bookmarkStart w:id="414" w:name="_Toc414021429"/>
      <w:bookmarkStart w:id="415" w:name="_Toc414021849"/>
      <w:bookmarkStart w:id="416" w:name="_Toc414207491"/>
      <w:bookmarkStart w:id="417" w:name="_Toc414210318"/>
      <w:bookmarkStart w:id="418" w:name="_Toc414211094"/>
      <w:bookmarkStart w:id="419" w:name="_Toc414211456"/>
      <w:bookmarkStart w:id="420" w:name="_Toc414535501"/>
      <w:bookmarkStart w:id="421" w:name="_Toc414535936"/>
      <w:bookmarkStart w:id="422" w:name="_Toc414536738"/>
      <w:bookmarkStart w:id="423" w:name="_Toc414556678"/>
      <w:bookmarkStart w:id="424" w:name="_Toc414557067"/>
      <w:bookmarkStart w:id="425" w:name="_Toc414557456"/>
      <w:bookmarkStart w:id="426" w:name="_Toc414557849"/>
      <w:bookmarkStart w:id="427" w:name="_Toc414558247"/>
      <w:bookmarkStart w:id="428" w:name="_Toc414558652"/>
      <w:bookmarkStart w:id="429" w:name="_Toc414559456"/>
      <w:bookmarkStart w:id="430" w:name="_Toc414560262"/>
      <w:bookmarkStart w:id="431" w:name="_Toc414560665"/>
      <w:bookmarkStart w:id="432" w:name="_Toc414561070"/>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C7085E" w:rsidRDefault="00C7085E" w:rsidP="00B71B1A">
      <w:pPr>
        <w:widowControl/>
        <w:numPr>
          <w:ilvl w:val="0"/>
          <w:numId w:val="8"/>
        </w:numPr>
        <w:suppressAutoHyphens/>
        <w:spacing w:before="120" w:after="240" w:line="276" w:lineRule="auto"/>
        <w:ind w:left="714" w:right="-285" w:hanging="357"/>
      </w:pPr>
      <w:r>
        <w:t>Real Decreto 314/2006, de 17 de marzo, por el que se aprueba el Código Técnico de la Edificación y en concreto, su Documento Básico SI: Seguridad en caso de incendio.</w:t>
      </w:r>
      <w:bookmarkStart w:id="433" w:name="_Toc414019761"/>
      <w:bookmarkStart w:id="434" w:name="_Toc414020178"/>
      <w:bookmarkStart w:id="435" w:name="_Toc414020596"/>
      <w:bookmarkStart w:id="436" w:name="_Toc414021013"/>
      <w:bookmarkStart w:id="437" w:name="_Toc414021430"/>
      <w:bookmarkStart w:id="438" w:name="_Toc414021850"/>
      <w:bookmarkStart w:id="439" w:name="_Toc414207492"/>
      <w:bookmarkStart w:id="440" w:name="_Toc414210319"/>
      <w:bookmarkStart w:id="441" w:name="_Toc414211095"/>
      <w:bookmarkStart w:id="442" w:name="_Toc414211457"/>
      <w:bookmarkStart w:id="443" w:name="_Toc414535502"/>
      <w:bookmarkStart w:id="444" w:name="_Toc414535937"/>
      <w:bookmarkStart w:id="445" w:name="_Toc414536739"/>
      <w:bookmarkStart w:id="446" w:name="_Toc414556679"/>
      <w:bookmarkStart w:id="447" w:name="_Toc414557068"/>
      <w:bookmarkStart w:id="448" w:name="_Toc414557457"/>
      <w:bookmarkStart w:id="449" w:name="_Toc414557850"/>
      <w:bookmarkStart w:id="450" w:name="_Toc414558248"/>
      <w:bookmarkStart w:id="451" w:name="_Toc414558653"/>
      <w:bookmarkStart w:id="452" w:name="_Toc414559457"/>
      <w:bookmarkStart w:id="453" w:name="_Toc414560263"/>
      <w:bookmarkStart w:id="454" w:name="_Toc414560666"/>
      <w:bookmarkStart w:id="455" w:name="_Toc414561071"/>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rsidR="00C7085E" w:rsidRPr="00E77B39" w:rsidRDefault="004A6A0E" w:rsidP="00B71B1A">
      <w:pPr>
        <w:widowControl/>
        <w:numPr>
          <w:ilvl w:val="0"/>
          <w:numId w:val="8"/>
        </w:numPr>
        <w:suppressAutoHyphens/>
        <w:spacing w:before="120" w:after="240" w:line="276" w:lineRule="auto"/>
        <w:ind w:left="714" w:right="-285" w:hanging="357"/>
      </w:pPr>
      <w:hyperlink r:id="rId17" w:history="1">
        <w:r w:rsidR="00C7085E" w:rsidRPr="00E77B39">
          <w:rPr>
            <w:rStyle w:val="Hipervnculo"/>
            <w:color w:val="auto"/>
            <w:u w:val="none"/>
          </w:rPr>
          <w:t>Orden 3619/2005, de 24 de junio</w:t>
        </w:r>
      </w:hyperlink>
      <w:r w:rsidR="00C7085E" w:rsidRPr="00E77B39">
        <w:t>, de la Consejería de Economía e Innovación Tecnológica, por la que se establece el procedimiento para el Registro de Instalaciones de Prevención y Extinción contra Incendios (BOCM de 22 de septiembre de 2005)</w:t>
      </w:r>
      <w:bookmarkStart w:id="456" w:name="_Toc414019762"/>
      <w:bookmarkStart w:id="457" w:name="_Toc414020179"/>
      <w:bookmarkStart w:id="458" w:name="_Toc414020597"/>
      <w:bookmarkStart w:id="459" w:name="_Toc414021014"/>
      <w:bookmarkStart w:id="460" w:name="_Toc414021431"/>
      <w:bookmarkStart w:id="461" w:name="_Toc414021851"/>
      <w:bookmarkStart w:id="462" w:name="_Toc414207493"/>
      <w:bookmarkStart w:id="463" w:name="_Toc414210320"/>
      <w:bookmarkStart w:id="464" w:name="_Toc414211096"/>
      <w:bookmarkStart w:id="465" w:name="_Toc414211458"/>
      <w:bookmarkStart w:id="466" w:name="_Toc414535503"/>
      <w:bookmarkStart w:id="467" w:name="_Toc414535938"/>
      <w:bookmarkStart w:id="468" w:name="_Toc414536740"/>
      <w:bookmarkStart w:id="469" w:name="_Toc414556680"/>
      <w:bookmarkStart w:id="470" w:name="_Toc414557069"/>
      <w:bookmarkStart w:id="471" w:name="_Toc414557458"/>
      <w:bookmarkStart w:id="472" w:name="_Toc414557851"/>
      <w:bookmarkStart w:id="473" w:name="_Toc414558249"/>
      <w:bookmarkStart w:id="474" w:name="_Toc414558654"/>
      <w:bookmarkStart w:id="475" w:name="_Toc414559458"/>
      <w:bookmarkStart w:id="476" w:name="_Toc414560264"/>
      <w:bookmarkStart w:id="477" w:name="_Toc414560667"/>
      <w:bookmarkStart w:id="478" w:name="_Toc414561072"/>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rsidR="00C7085E" w:rsidRDefault="00C7085E" w:rsidP="00B71B1A">
      <w:pPr>
        <w:widowControl/>
        <w:numPr>
          <w:ilvl w:val="0"/>
          <w:numId w:val="8"/>
        </w:numPr>
        <w:suppressAutoHyphens/>
        <w:spacing w:before="120" w:after="240" w:line="276" w:lineRule="auto"/>
        <w:ind w:left="714" w:right="-285" w:hanging="357"/>
      </w:pPr>
      <w:r>
        <w:t>Orden de 27 de mayo de 2009, de simplificación administrativa por la que se regula el registro de puesta en servicio de las instalaciones de protección contra incendios en la Comunidad de Madrid (BOCM nº153, 30 de junio de 2009).</w:t>
      </w:r>
      <w:bookmarkStart w:id="479" w:name="_Toc414019763"/>
      <w:bookmarkStart w:id="480" w:name="_Toc414020180"/>
      <w:bookmarkStart w:id="481" w:name="_Toc414020598"/>
      <w:bookmarkStart w:id="482" w:name="_Toc414021015"/>
      <w:bookmarkStart w:id="483" w:name="_Toc414021432"/>
      <w:bookmarkStart w:id="484" w:name="_Toc414021852"/>
      <w:bookmarkStart w:id="485" w:name="_Toc414207494"/>
      <w:bookmarkStart w:id="486" w:name="_Toc414210321"/>
      <w:bookmarkStart w:id="487" w:name="_Toc414211097"/>
      <w:bookmarkStart w:id="488" w:name="_Toc414211459"/>
      <w:bookmarkStart w:id="489" w:name="_Toc414535504"/>
      <w:bookmarkStart w:id="490" w:name="_Toc414535939"/>
      <w:bookmarkStart w:id="491" w:name="_Toc414536741"/>
      <w:bookmarkStart w:id="492" w:name="_Toc414556681"/>
      <w:bookmarkStart w:id="493" w:name="_Toc414557070"/>
      <w:bookmarkStart w:id="494" w:name="_Toc414557459"/>
      <w:bookmarkStart w:id="495" w:name="_Toc414557852"/>
      <w:bookmarkStart w:id="496" w:name="_Toc414558250"/>
      <w:bookmarkStart w:id="497" w:name="_Toc414558655"/>
      <w:bookmarkStart w:id="498" w:name="_Toc414559459"/>
      <w:bookmarkStart w:id="499" w:name="_Toc414560265"/>
      <w:bookmarkStart w:id="500" w:name="_Toc414560668"/>
      <w:bookmarkStart w:id="501" w:name="_Toc414561073"/>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rsidR="00C7085E" w:rsidRDefault="00C7085E" w:rsidP="00B71B1A">
      <w:pPr>
        <w:widowControl/>
        <w:numPr>
          <w:ilvl w:val="0"/>
          <w:numId w:val="8"/>
        </w:numPr>
        <w:suppressAutoHyphens/>
        <w:spacing w:before="120" w:after="240" w:line="276" w:lineRule="auto"/>
        <w:ind w:left="714" w:right="-285" w:hanging="357"/>
      </w:pPr>
      <w:r>
        <w:t>Orden de 12 de marzo de 2014, de la Consejería de Economía y Hacienda, por la que se establece el procedimiento para el registro de puesta en servicio de las instalaciones de protección contra incendios en establecimientos no industriales en la Comunidad de Madrid (BOCM nº120, 22 de mayo de 2014).</w:t>
      </w:r>
      <w:bookmarkStart w:id="502" w:name="_Toc414019764"/>
      <w:bookmarkStart w:id="503" w:name="_Toc414020181"/>
      <w:bookmarkStart w:id="504" w:name="_Toc414020599"/>
      <w:bookmarkStart w:id="505" w:name="_Toc414021016"/>
      <w:bookmarkStart w:id="506" w:name="_Toc414021433"/>
      <w:bookmarkStart w:id="507" w:name="_Toc414021853"/>
      <w:bookmarkStart w:id="508" w:name="_Toc414207495"/>
      <w:bookmarkStart w:id="509" w:name="_Toc414210322"/>
      <w:bookmarkStart w:id="510" w:name="_Toc414211098"/>
      <w:bookmarkStart w:id="511" w:name="_Toc414211460"/>
      <w:bookmarkStart w:id="512" w:name="_Toc414535505"/>
      <w:bookmarkStart w:id="513" w:name="_Toc414535940"/>
      <w:bookmarkStart w:id="514" w:name="_Toc414536742"/>
      <w:bookmarkStart w:id="515" w:name="_Toc414556682"/>
      <w:bookmarkStart w:id="516" w:name="_Toc414557071"/>
      <w:bookmarkStart w:id="517" w:name="_Toc414557460"/>
      <w:bookmarkStart w:id="518" w:name="_Toc414557853"/>
      <w:bookmarkStart w:id="519" w:name="_Toc414558251"/>
      <w:bookmarkStart w:id="520" w:name="_Toc414558656"/>
      <w:bookmarkStart w:id="521" w:name="_Toc414559460"/>
      <w:bookmarkStart w:id="522" w:name="_Toc414560266"/>
      <w:bookmarkStart w:id="523" w:name="_Toc414560669"/>
      <w:bookmarkStart w:id="524" w:name="_Toc414561074"/>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C7085E" w:rsidRDefault="00C7085E" w:rsidP="00B71B1A">
      <w:pPr>
        <w:spacing w:before="120" w:after="240" w:line="276" w:lineRule="auto"/>
        <w:ind w:right="-285"/>
      </w:pPr>
      <w:r>
        <w:t>Las instalaciones de protección contra incendios, con excepción de los extintores portátiles, se ejecutarán por medio de empresas instaladoras autorizadas para el ejercicio de la actividad, según lo establecido en el Real Decreto 1942/1993.</w:t>
      </w:r>
    </w:p>
    <w:p w:rsidR="00C7085E" w:rsidRDefault="00C7085E" w:rsidP="00B71B1A">
      <w:pPr>
        <w:spacing w:before="120" w:after="240" w:line="276" w:lineRule="auto"/>
        <w:ind w:right="-285"/>
      </w:pPr>
      <w:r>
        <w:t>Para cada instalación, con excepción si cuenta únicamente de extintores, se elaborará una documentación técnica en la que se pondrá de manifiesto el cumplimiento de las prescripciones reglamentarias. Ésta documentación será en forma de Proyecto suscrito por técnico facultativo competente.</w:t>
      </w:r>
    </w:p>
    <w:p w:rsidR="00C7085E" w:rsidRDefault="00C7085E" w:rsidP="00B71B1A">
      <w:pPr>
        <w:spacing w:before="120" w:after="240" w:line="276" w:lineRule="auto"/>
        <w:ind w:right="-285"/>
      </w:pPr>
      <w:r>
        <w:t>Para cualquier instalación de protección contra incendios, con excepción si únicamente incorpora extintores, será preceptiva la autorización de la Dirección General de Industria, Energía y Minas de la Comunidad de Madrid.</w:t>
      </w:r>
    </w:p>
    <w:p w:rsidR="00C7085E" w:rsidRDefault="00C7085E" w:rsidP="00B71B1A">
      <w:pPr>
        <w:pStyle w:val="Ttulo4"/>
        <w:keepLines/>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keepNext/>
        <w:keepLines/>
        <w:spacing w:before="120" w:after="240" w:line="276" w:lineRule="auto"/>
        <w:ind w:right="-285"/>
      </w:pPr>
      <w:r>
        <w:t>Los distintos elementos que componen la instalación de protección contra incendios se medirán y abonarán conforme a las unidades que figuren en el Cuadro de Precios vigente de Canal de Isabel II Gestión.</w:t>
      </w:r>
    </w:p>
    <w:p w:rsidR="00C7085E" w:rsidRDefault="00C7085E" w:rsidP="00B71B1A">
      <w:pPr>
        <w:spacing w:before="120" w:after="240" w:line="276" w:lineRule="auto"/>
        <w:ind w:right="-285"/>
      </w:pPr>
      <w:r>
        <w:t>En los precios unitarios se consideran incluidas las ayudas de albañilería y oficios necesarios para su total acabado y montaje.</w:t>
      </w: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25" w:name="_Toc448741443"/>
      <w:r>
        <w:lastRenderedPageBreak/>
        <w:t>Instalaciones de gas</w:t>
      </w:r>
      <w:bookmarkEnd w:id="525"/>
    </w:p>
    <w:p w:rsidR="00C7085E" w:rsidRDefault="00C7085E" w:rsidP="00B71B1A">
      <w:pPr>
        <w:keepNext/>
        <w:keepLines/>
        <w:spacing w:before="120" w:after="240" w:line="276" w:lineRule="auto"/>
        <w:ind w:right="-285"/>
      </w:pPr>
      <w:r>
        <w:t>Las instalaciones de gas deberán cumplir con las especificaciones establecidas en la normativa siguiente:</w:t>
      </w:r>
    </w:p>
    <w:p w:rsidR="00C7085E" w:rsidRDefault="00C7085E" w:rsidP="00B71B1A">
      <w:pPr>
        <w:widowControl/>
        <w:numPr>
          <w:ilvl w:val="0"/>
          <w:numId w:val="8"/>
        </w:numPr>
        <w:suppressAutoHyphens/>
        <w:spacing w:before="120" w:after="240" w:line="276" w:lineRule="auto"/>
        <w:ind w:left="714" w:right="-285" w:hanging="357"/>
      </w:pPr>
      <w:r>
        <w:t>Real Decreto 919/2006, de 28 de julio, por el que se aprueba el Reglamento técnico de distribución y utilización de combustibles gaseosos y sus instrucciones técnicas complementarias ICG 01 a 11.</w:t>
      </w:r>
    </w:p>
    <w:p w:rsidR="00C7085E" w:rsidRDefault="00C7085E" w:rsidP="00B71B1A">
      <w:pPr>
        <w:widowControl/>
        <w:numPr>
          <w:ilvl w:val="0"/>
          <w:numId w:val="8"/>
        </w:numPr>
        <w:suppressAutoHyphens/>
        <w:spacing w:before="120" w:after="240" w:line="276" w:lineRule="auto"/>
        <w:ind w:left="714" w:right="-285" w:hanging="357"/>
      </w:pPr>
      <w:r>
        <w:t>Real Decreto 314/2006, de 17 de marzo, por el que se aprueba el Código Técnico de la Edificación y, en concreto, su Documento Básico HE: Ahorro de Energía.</w:t>
      </w:r>
    </w:p>
    <w:p w:rsidR="00C7085E" w:rsidRDefault="00C7085E" w:rsidP="00B71B1A">
      <w:pPr>
        <w:spacing w:before="120" w:after="240" w:line="276" w:lineRule="auto"/>
        <w:ind w:right="-285"/>
      </w:pPr>
      <w:r>
        <w:t>Los materiales, equipos y aparatos utilizados en las instalaciones de gas, en su caso, deberán incorporar el marcado “CE” de conformidad, de acuerdo a la Directiva 90/396/CEE del Consejo, de 29 de junio de 1990, relativa a la aproximación de las legislaciones de los Estados miembros sobre los aparatos de gas, así como la Directiva 93/68/CEE que la modifica.</w:t>
      </w:r>
    </w:p>
    <w:p w:rsidR="00C7085E" w:rsidRDefault="00C7085E" w:rsidP="00B71B1A">
      <w:pPr>
        <w:spacing w:before="120" w:after="240" w:line="276" w:lineRule="auto"/>
        <w:ind w:right="-285"/>
      </w:pPr>
      <w:r>
        <w:t>Las instalaciones de gas se ejecutarán con arreglo a la legislación vigente, por medio de empresas instaladoras autorizadas para el ejercicio de la actividad e instaladores que dispongan del correspondiente carnet de instalador, según lo establecido en la ITC-ICG 09 del Real Decreto 919/2006.</w:t>
      </w:r>
    </w:p>
    <w:p w:rsidR="00C7085E" w:rsidRDefault="00C7085E" w:rsidP="00B71B1A">
      <w:pPr>
        <w:spacing w:before="120" w:after="240" w:line="276" w:lineRule="auto"/>
        <w:ind w:right="-285"/>
      </w:pPr>
      <w:r>
        <w:t>Para cada instalación se elaborará una documentación técnica, en la que se pondrá de manifiesto el cumplimiento de las prescripciones reglamentarias. Ésta documentación, en función de las características de la instalación, será en forma de Proyecto suscrito por técnico facultativo competente, o mediante Memoria Técnica suscrita por instalador en la categoría que indique la ITC-ICG 09.</w:t>
      </w:r>
    </w:p>
    <w:p w:rsidR="00C7085E" w:rsidRDefault="00C7085E" w:rsidP="00B71B1A">
      <w:pPr>
        <w:spacing w:before="120" w:after="240" w:line="276" w:lineRule="auto"/>
        <w:ind w:right="-285"/>
      </w:pPr>
      <w:r>
        <w:t>Para cualquier instalación de gas, será preceptiva la autorización de la Dirección General de Industria, Energía y Minas de la Comunidad de Madrid y, en su caso, de la Compañía suministradora.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distintos elementos que componen las instalaciones de gas se medirán y abonarán conforme a las unidades que figuren en el Cuadro de Precios vigente de Canal de Isabel II Gestión.</w:t>
      </w:r>
    </w:p>
    <w:p w:rsidR="00C7085E" w:rsidRDefault="00C7085E" w:rsidP="00B71B1A">
      <w:pPr>
        <w:spacing w:before="120" w:after="240" w:line="276" w:lineRule="auto"/>
        <w:ind w:right="-285"/>
      </w:pPr>
      <w:r>
        <w:t>En los precios unitarios se consideran incluidas las ayudas de albañilería y oficios necesarios para su total acabado y montaje.</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26" w:name="_Toc448741444"/>
      <w:r>
        <w:t>Instalaciones térmicas</w:t>
      </w:r>
      <w:bookmarkEnd w:id="526"/>
    </w:p>
    <w:p w:rsidR="00C7085E" w:rsidRDefault="00C7085E" w:rsidP="00B71B1A">
      <w:pPr>
        <w:spacing w:before="120" w:after="240" w:line="276" w:lineRule="auto"/>
        <w:ind w:right="-285"/>
      </w:pPr>
      <w:r>
        <w:t xml:space="preserve">Las instalaciones térmicas se ajustarán en todo momento a las disposiciones vigentes que le sean de aplicación y, en particular: </w:t>
      </w:r>
    </w:p>
    <w:p w:rsidR="00C7085E" w:rsidRDefault="00C7085E" w:rsidP="00B71B1A">
      <w:pPr>
        <w:widowControl/>
        <w:numPr>
          <w:ilvl w:val="0"/>
          <w:numId w:val="8"/>
        </w:numPr>
        <w:suppressAutoHyphens/>
        <w:spacing w:before="120" w:after="240" w:line="276" w:lineRule="auto"/>
        <w:ind w:left="714" w:right="-285" w:hanging="357"/>
      </w:pPr>
      <w:r>
        <w:lastRenderedPageBreak/>
        <w:t>Real Decreto 1027/2007, de 20 de julio, por el que se aprueba el Reglamento de Instalaciones Térmicas en los Edificios (RITE).</w:t>
      </w:r>
    </w:p>
    <w:p w:rsidR="00C7085E" w:rsidRDefault="00C7085E" w:rsidP="00B71B1A">
      <w:pPr>
        <w:widowControl/>
        <w:numPr>
          <w:ilvl w:val="0"/>
          <w:numId w:val="8"/>
        </w:numPr>
        <w:suppressAutoHyphens/>
        <w:spacing w:before="120" w:after="240" w:line="276" w:lineRule="auto"/>
        <w:ind w:left="714" w:right="-285" w:hanging="357"/>
      </w:pPr>
      <w:r>
        <w:t>Real Decreto 1826/2009, de 27 de noviembre, por el que se modifica el RITE.</w:t>
      </w:r>
    </w:p>
    <w:p w:rsidR="00C7085E" w:rsidRDefault="00C7085E" w:rsidP="00B71B1A">
      <w:pPr>
        <w:widowControl/>
        <w:numPr>
          <w:ilvl w:val="0"/>
          <w:numId w:val="8"/>
        </w:numPr>
        <w:suppressAutoHyphens/>
        <w:spacing w:before="120" w:after="240" w:line="276" w:lineRule="auto"/>
        <w:ind w:left="714" w:right="-285" w:hanging="357"/>
      </w:pPr>
      <w:r>
        <w:t>Real Decreto 249/2010, de 5 de marzo, por el que se adaptan determinadas disposiciones en materia de energía y minas a lo dispuesto en la Ley 17/2009, de 23 de noviembre, sobre el libre acceso a las actividades de servicios y su ejercicio, y la Ley 25/2009, de 22 de diciembre, de modificación de diversas leyes para su adaptación a la Ley sobre el libre acceso a las actividades de servicios.</w:t>
      </w:r>
    </w:p>
    <w:p w:rsidR="00C7085E" w:rsidRDefault="00C7085E" w:rsidP="00B71B1A">
      <w:pPr>
        <w:widowControl/>
        <w:numPr>
          <w:ilvl w:val="0"/>
          <w:numId w:val="8"/>
        </w:numPr>
        <w:suppressAutoHyphens/>
        <w:spacing w:before="120" w:after="240" w:line="276" w:lineRule="auto"/>
        <w:ind w:left="714" w:right="-285" w:hanging="357"/>
      </w:pPr>
      <w:r>
        <w:t>Real Decreto 238/2013, de 5 de abril, por el que se modifican determinados artículos e instrucciones técnicas del RITE.</w:t>
      </w:r>
    </w:p>
    <w:p w:rsidR="00C7085E" w:rsidRDefault="00C7085E" w:rsidP="00B71B1A">
      <w:pPr>
        <w:spacing w:before="120" w:after="240" w:line="276" w:lineRule="auto"/>
        <w:ind w:right="-285"/>
      </w:pPr>
      <w:r>
        <w:t>Las instalaciones térmicas se ejecutarán con arreglo a la legislación vigente, por medio de empresas instaladoras autorizadas para el ejercicio de la actividad e instaladores que dispongan del correspondiente carnet de instalador, según lo establecido en el Real Decreto 1027/2007.</w:t>
      </w:r>
    </w:p>
    <w:p w:rsidR="00C7085E" w:rsidRDefault="00C7085E" w:rsidP="00B71B1A">
      <w:pPr>
        <w:spacing w:before="120" w:after="240" w:line="276" w:lineRule="auto"/>
        <w:ind w:right="-285"/>
      </w:pPr>
      <w:r>
        <w:t>Deberá elaborarse, previamente a la ejecución, una documentación técnica que defina las características de la instalación y que, en función de sus características, según determine el Real Decreto 1027/2007, revestirá la forma de proyecto o memoria técnica.</w:t>
      </w:r>
    </w:p>
    <w:p w:rsidR="00C7085E" w:rsidRDefault="00C7085E" w:rsidP="00B71B1A">
      <w:pPr>
        <w:spacing w:before="120" w:after="240" w:line="276" w:lineRule="auto"/>
        <w:ind w:right="-285"/>
      </w:pPr>
      <w:r>
        <w:t xml:space="preserve"> A la terminación de la instalación y realizadas las verificaciones pertinentes y, en su caso, la inspección inicial, el instalador autorizado ejecutor de la instalación emitirá un certificado de instalación, en el que se hará constar que la misma se ha realizado de conformidad con lo establecido en la legislación vigente y de acuerdo con la documentación técnica. En su caso, identificará y justificará las variaciones que en la ejecución se hayan producido con relación a lo previsto en dicha documentación.</w:t>
      </w:r>
    </w:p>
    <w:p w:rsidR="00C7085E" w:rsidRDefault="00C7085E" w:rsidP="00B71B1A">
      <w:pPr>
        <w:spacing w:before="120" w:after="240" w:line="276" w:lineRule="auto"/>
        <w:ind w:right="-285"/>
      </w:pPr>
      <w:r>
        <w:t>El certificado, junto con la documentación técnica y, en su caso, el certificado de dirección de obra y el de inspección inicial, deberá depositarse ante la Dirección General de Industria, Energía y Minas de la Comunidad de Madrid, con objeto de registrar la referida instalación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bookmarkStart w:id="527" w:name="_Toc414019765"/>
      <w:bookmarkStart w:id="528" w:name="_Toc414020182"/>
      <w:bookmarkStart w:id="529" w:name="_Toc414020600"/>
      <w:bookmarkStart w:id="530" w:name="_Toc414021017"/>
      <w:bookmarkStart w:id="531" w:name="_Toc414021434"/>
      <w:bookmarkStart w:id="532" w:name="_Toc414021854"/>
      <w:bookmarkStart w:id="533" w:name="_Toc414207496"/>
      <w:bookmarkStart w:id="534" w:name="_Toc414210323"/>
      <w:bookmarkStart w:id="535" w:name="_Toc414211099"/>
      <w:bookmarkStart w:id="536" w:name="_Toc414211461"/>
      <w:bookmarkStart w:id="537" w:name="_Toc414535506"/>
      <w:bookmarkStart w:id="538" w:name="_Toc414535941"/>
      <w:bookmarkStart w:id="539" w:name="_Toc414536743"/>
      <w:bookmarkStart w:id="540" w:name="_Toc414556683"/>
      <w:bookmarkStart w:id="541" w:name="_Toc414557072"/>
      <w:bookmarkStart w:id="542" w:name="_Toc414557461"/>
      <w:bookmarkStart w:id="543" w:name="_Toc414557854"/>
      <w:bookmarkStart w:id="544" w:name="_Toc414558252"/>
      <w:bookmarkStart w:id="545" w:name="_Toc414558657"/>
      <w:bookmarkStart w:id="546" w:name="_Toc414559461"/>
      <w:bookmarkStart w:id="547" w:name="_Toc414560267"/>
      <w:bookmarkStart w:id="548" w:name="_Toc414560670"/>
      <w:bookmarkStart w:id="549" w:name="_Toc414561075"/>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sidR="00C7085E" w:rsidRDefault="00C7085E" w:rsidP="00B71B1A">
      <w:pPr>
        <w:spacing w:before="120" w:after="240" w:line="276" w:lineRule="auto"/>
        <w:ind w:right="-285"/>
      </w:pPr>
      <w:r>
        <w:t>Los distintos elementos que componen las instalaciones térmicas se medirán y abonarán conforme a las unidades que figuren en el Cuadro de Precios vigente de Canal de Isabel II Gestión.</w:t>
      </w:r>
    </w:p>
    <w:p w:rsidR="00C7085E" w:rsidRDefault="00C7085E" w:rsidP="00B71B1A">
      <w:pPr>
        <w:spacing w:before="120" w:after="240" w:line="276" w:lineRule="auto"/>
        <w:ind w:right="-285"/>
      </w:pPr>
      <w:r>
        <w:t>En los precios unitarios se consideran incluidas las ayudas de albañilería y oficios necesarios para su total acabado y montaje.</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50" w:name="_Toc414019766"/>
      <w:bookmarkStart w:id="551" w:name="_Toc414020183"/>
      <w:bookmarkStart w:id="552" w:name="_Toc414020601"/>
      <w:bookmarkStart w:id="553" w:name="_Toc414021018"/>
      <w:bookmarkStart w:id="554" w:name="_Toc414021435"/>
      <w:bookmarkStart w:id="555" w:name="_Toc414021855"/>
      <w:bookmarkStart w:id="556" w:name="_Toc414207497"/>
      <w:bookmarkStart w:id="557" w:name="_Toc414210324"/>
      <w:bookmarkStart w:id="558" w:name="_Toc414211100"/>
      <w:bookmarkStart w:id="559" w:name="_Toc414211462"/>
      <w:bookmarkStart w:id="560" w:name="_Toc414535507"/>
      <w:bookmarkStart w:id="561" w:name="_Toc414535942"/>
      <w:bookmarkStart w:id="562" w:name="_Toc414536744"/>
      <w:bookmarkStart w:id="563" w:name="_Toc414556684"/>
      <w:bookmarkStart w:id="564" w:name="_Toc414557073"/>
      <w:bookmarkStart w:id="565" w:name="_Toc414557462"/>
      <w:bookmarkStart w:id="566" w:name="_Toc414557855"/>
      <w:bookmarkStart w:id="567" w:name="_Toc414558253"/>
      <w:bookmarkStart w:id="568" w:name="_Toc414558658"/>
      <w:bookmarkStart w:id="569" w:name="_Toc414559462"/>
      <w:bookmarkStart w:id="570" w:name="_Toc414560268"/>
      <w:bookmarkStart w:id="571" w:name="_Toc414560671"/>
      <w:bookmarkStart w:id="572" w:name="_Toc414561076"/>
      <w:bookmarkStart w:id="573" w:name="_Toc448741445"/>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t>Instalaciones eléctricas</w:t>
      </w:r>
      <w:bookmarkEnd w:id="573"/>
    </w:p>
    <w:p w:rsidR="00C7085E" w:rsidRDefault="00C7085E" w:rsidP="00B71B1A">
      <w:pPr>
        <w:spacing w:before="120" w:after="240" w:line="276" w:lineRule="auto"/>
        <w:ind w:right="-285"/>
      </w:pPr>
      <w:r>
        <w:t xml:space="preserve">La ejecución, modificación, ampliación de instalaciones eléctricas se ajustarán en todo momento al Real Decreto 842/2002, de 2 de agosto, por el que se aprueba el Reglamento Electrotécnico para Baja Tensión y sus Instrucciones Técnicas Complementarias (ITC) BT </w:t>
      </w:r>
      <w:r>
        <w:lastRenderedPageBreak/>
        <w:t>01 a BT 51.</w:t>
      </w:r>
    </w:p>
    <w:p w:rsidR="00C7085E" w:rsidRDefault="00C7085E" w:rsidP="00B71B1A">
      <w:pPr>
        <w:spacing w:before="120" w:after="240" w:line="276" w:lineRule="auto"/>
        <w:ind w:right="-285"/>
      </w:pPr>
      <w:r>
        <w:t>Las instalaciones eléctricas se ejecutarán con arreglo a la legislación vigente, por medio de empresas instaladoras autorizadas para el ejercicio de la actividad e instaladores que dispongan del correspondiente carnet de instalador, según lo establecido en la ITC-BT 03 del Real Decreto 842/2002.</w:t>
      </w:r>
    </w:p>
    <w:p w:rsidR="00C7085E" w:rsidRDefault="00C7085E" w:rsidP="00B71B1A">
      <w:pPr>
        <w:spacing w:before="120" w:after="240" w:line="276" w:lineRule="auto"/>
        <w:ind w:right="-285"/>
      </w:pPr>
      <w:r>
        <w:t>Deberá elaborarse, previamente a la ejecución, una documentación técnica que defina las características de la instalación y que, en función de sus características, según determine la correspondiente ITC, revestirá la forma de proyecto o memoria técnica.</w:t>
      </w:r>
    </w:p>
    <w:p w:rsidR="00C7085E" w:rsidRDefault="00C7085E" w:rsidP="00B71B1A">
      <w:pPr>
        <w:spacing w:before="120" w:after="240" w:line="276" w:lineRule="auto"/>
        <w:ind w:right="-285"/>
      </w:pPr>
      <w:r>
        <w:t>A la terminación de la instalación y realizadas las verificaciones pertinentes y, en su caso, la inspección inicial, el instalador autorizado ejecutor de la instalación emitirá un certificado de instalación, en el que se hará constar que la misma se ha realizado de conformidad con lo establecido en el Reglamento y sus Instrucciones Técnicas Complementarias y de acuerdo con la documentación técnica. En su caso, identificará y justificará las variaciones que en la ejecución se hayan producido con relación a lo previsto en dicha documentación.</w:t>
      </w:r>
    </w:p>
    <w:p w:rsidR="00C7085E" w:rsidRDefault="00C7085E" w:rsidP="00B71B1A">
      <w:pPr>
        <w:spacing w:before="120" w:after="240" w:line="276" w:lineRule="auto"/>
        <w:ind w:right="-285"/>
      </w:pPr>
      <w:r>
        <w:t>El certificado, junto con la documentación técnica y, en su caso, el certificado de dirección de obra y el de inspección inicial, deberá depositarse ante la Dirección General de Industria, Energía y Minas de la Comunidad de Madrid, con objeto de legalizar la referida instalación.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distintos elementos que componen las instalaciones eléctricas se medirán y abonarán conforme a las unidades que figuren en el Cuadro de Precios vigente de Canal de Isabel II Gestión.</w:t>
      </w:r>
    </w:p>
    <w:p w:rsidR="00C7085E" w:rsidRDefault="00C7085E" w:rsidP="00B71B1A">
      <w:pPr>
        <w:spacing w:before="120" w:after="240" w:line="276" w:lineRule="auto"/>
        <w:ind w:right="-285"/>
      </w:pPr>
      <w:r>
        <w:t>En los precios unitarios se consideran incluidas las ayudas de albañilería y oficios necesarios para su total acabado y montaje.</w:t>
      </w:r>
    </w:p>
    <w:p w:rsidR="00C7085E" w:rsidRPr="00894B2B" w:rsidRDefault="00E77B39" w:rsidP="00B71B1A">
      <w:pPr>
        <w:pStyle w:val="Ttulo2"/>
        <w:numPr>
          <w:ilvl w:val="1"/>
          <w:numId w:val="5"/>
        </w:numPr>
        <w:snapToGrid/>
        <w:spacing w:before="400" w:after="400" w:line="276" w:lineRule="auto"/>
        <w:ind w:left="0" w:right="-285"/>
        <w:rPr>
          <w:caps w:val="0"/>
        </w:rPr>
      </w:pPr>
      <w:bookmarkStart w:id="574" w:name="_Toc414021856"/>
      <w:bookmarkStart w:id="575" w:name="_Toc448741446"/>
      <w:r w:rsidRPr="00E77B39">
        <w:rPr>
          <w:caps w:val="0"/>
        </w:rPr>
        <w:t>ACOMETIDAS</w:t>
      </w:r>
      <w:bookmarkEnd w:id="574"/>
      <w:bookmarkEnd w:id="575"/>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76" w:name="_Toc414021857"/>
      <w:bookmarkStart w:id="577" w:name="_Toc448741447"/>
      <w:r>
        <w:t>Acometidas</w:t>
      </w:r>
      <w:bookmarkEnd w:id="576"/>
      <w:bookmarkEnd w:id="577"/>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El diseño de las acometidas se llevará a cabo conforme a lo indicado en la correspondiente Especificación Técnica de Acometidas de Canal de Isabel II Gestión y los materiales empleados cumplirán las especificaciones recogidas en la normativa que les sea aplicable en cada caso.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 construcción de las acometidas se hará según las condiciones establecidas en la correspondiente Especificación Técnica de Acometidas de Canal de Isabel II Gestión.</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lastRenderedPageBreak/>
        <w:t>Medición y abono</w:t>
      </w:r>
    </w:p>
    <w:p w:rsidR="00C7085E" w:rsidRDefault="00C7085E" w:rsidP="00B71B1A">
      <w:pPr>
        <w:keepNext/>
        <w:spacing w:before="120" w:after="240" w:line="276" w:lineRule="auto"/>
        <w:ind w:right="-285"/>
      </w:pPr>
      <w:r>
        <w:t>Las acometidas se medirán y abonarán por unidades (ud) realmente construidas, al precio que corresponda de los que figuren en el Cuadro de Precios vigente de Canal de Isabel II Gestión.</w:t>
      </w:r>
    </w:p>
    <w:p w:rsidR="00C7085E" w:rsidRDefault="00C7085E" w:rsidP="00B71B1A">
      <w:pPr>
        <w:spacing w:before="120" w:after="240" w:line="276" w:lineRule="auto"/>
        <w:ind w:right="-285"/>
      </w:pPr>
      <w:r>
        <w:t>La descripción de la unidad considera la ejecución de la acometida completa, incluida la demolición de cualquier tipo de pavimento, la excavación, el relleno y compactado, la reposición de pavimento en acera o calzada, la instalación, si procede, del armario con aislante térmico y el contador. No se considera incluida la retirada a vertedero del sobrante de excavación, ni el canon de vertido.</w:t>
      </w:r>
    </w:p>
    <w:p w:rsidR="00C7085E" w:rsidRPr="00894B2B" w:rsidRDefault="00E77B39" w:rsidP="00B71B1A">
      <w:pPr>
        <w:pStyle w:val="Ttulo2"/>
        <w:numPr>
          <w:ilvl w:val="1"/>
          <w:numId w:val="5"/>
        </w:numPr>
        <w:snapToGrid/>
        <w:spacing w:before="400" w:after="400" w:line="276" w:lineRule="auto"/>
        <w:ind w:left="0" w:right="-285"/>
        <w:rPr>
          <w:caps w:val="0"/>
        </w:rPr>
      </w:pPr>
      <w:bookmarkStart w:id="578" w:name="_Toc414021858"/>
      <w:bookmarkStart w:id="579" w:name="_Toc448741448"/>
      <w:r w:rsidRPr="00E77B39">
        <w:rPr>
          <w:caps w:val="0"/>
        </w:rPr>
        <w:t>ALOJAMIENTOS</w:t>
      </w:r>
      <w:bookmarkEnd w:id="578"/>
      <w:bookmarkEnd w:id="579"/>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80" w:name="_Toc414021860"/>
      <w:bookmarkStart w:id="581" w:name="_Toc448741449"/>
      <w:r>
        <w:t>Pozos</w:t>
      </w:r>
      <w:bookmarkEnd w:id="580"/>
      <w:bookmarkEnd w:id="581"/>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Generalidades</w:t>
      </w:r>
    </w:p>
    <w:p w:rsidR="00C7085E" w:rsidRDefault="00C7085E" w:rsidP="00B71B1A">
      <w:pPr>
        <w:spacing w:before="120" w:after="240" w:line="276" w:lineRule="auto"/>
        <w:ind w:right="-285"/>
      </w:pPr>
      <w:r>
        <w:t>Los pozos podrán ser bien prefabricados o construidos “in situ”.</w:t>
      </w:r>
    </w:p>
    <w:p w:rsidR="00C7085E" w:rsidRDefault="00C7085E" w:rsidP="00B71B1A">
      <w:pPr>
        <w:spacing w:before="120" w:after="240" w:line="276" w:lineRule="auto"/>
        <w:ind w:right="-285"/>
        <w:rPr>
          <w:rFonts w:ascii="TimesNewRoman" w:hAnsi="TimesNewRoman" w:cs="TimesNewRoman"/>
          <w:szCs w:val="22"/>
        </w:rPr>
      </w:pPr>
      <w:r>
        <w:t>En el caso de pozos de sección transversal circular, estos se designarán por su diámetro nominal (DN), referido</w:t>
      </w:r>
      <w:r>
        <w:rPr>
          <w:rFonts w:ascii="TimesNewRoman" w:hAnsi="TimesNewRoman" w:cs="TimesNewRoman"/>
          <w:szCs w:val="22"/>
        </w:rPr>
        <w:t xml:space="preserve"> al diámetro interior del componente.</w:t>
      </w:r>
    </w:p>
    <w:p w:rsidR="00C7085E" w:rsidRDefault="00C7085E" w:rsidP="00B71B1A">
      <w:pPr>
        <w:spacing w:before="120" w:after="240" w:line="276" w:lineRule="auto"/>
        <w:ind w:right="-285"/>
        <w:rPr>
          <w:rFonts w:ascii="TimesNewRoman" w:hAnsi="TimesNewRoman" w:cs="TimesNewRoman"/>
          <w:szCs w:val="22"/>
        </w:rPr>
      </w:pPr>
      <w:r>
        <w:rPr>
          <w:rFonts w:ascii="TimesNewRoman" w:hAnsi="TimesNewRoman" w:cs="TimesNewRoman"/>
          <w:szCs w:val="22"/>
        </w:rPr>
        <w:t>Los pozos prefabricados deberán ir previstos a la salida de fábrica con los orificios necesarios para su unión con las conducciones, no admitiéndose la perforación “in situ” de los pozos. Las juntas entre los módulos que conforman el pozo deberán incorporar un anillo elastomérico para asegurar la estanqueidad entre los elementos.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szCs w:val="20"/>
        </w:rPr>
      </w:pPr>
      <w:r>
        <w:t>Materiales</w:t>
      </w:r>
    </w:p>
    <w:p w:rsidR="00C7085E" w:rsidRDefault="00C7085E" w:rsidP="00B71B1A">
      <w:pPr>
        <w:keepNext/>
        <w:keepLines/>
        <w:widowControl/>
        <w:numPr>
          <w:ilvl w:val="0"/>
          <w:numId w:val="12"/>
        </w:numPr>
        <w:spacing w:before="120" w:after="240" w:line="276" w:lineRule="auto"/>
        <w:ind w:left="714" w:right="-285" w:hanging="357"/>
      </w:pPr>
      <w:r>
        <w:t>Pozos prefabricados de hormigón armado</w:t>
      </w:r>
    </w:p>
    <w:p w:rsidR="00C7085E" w:rsidRDefault="00C7085E" w:rsidP="00B71B1A">
      <w:pPr>
        <w:keepNext/>
        <w:keepLines/>
        <w:spacing w:before="120" w:after="240" w:line="276" w:lineRule="auto"/>
        <w:ind w:right="-285"/>
      </w:pPr>
      <w:r>
        <w:t>Deberán cumplir con lo especificado para los mismos en las normas UNE-EN 1917: “</w:t>
      </w:r>
      <w:r>
        <w:rPr>
          <w:i/>
        </w:rPr>
        <w:t xml:space="preserve">Pozos de registro y cámaras de inspección de hormigón en masa, hormigón armado y hormigón con fibras de acero” </w:t>
      </w:r>
      <w:r>
        <w:t>y en la UNE 127917, Complemento Nacional a la anterior.</w:t>
      </w:r>
    </w:p>
    <w:p w:rsidR="00C7085E" w:rsidRDefault="00C7085E" w:rsidP="00B71B1A">
      <w:pPr>
        <w:widowControl/>
        <w:numPr>
          <w:ilvl w:val="0"/>
          <w:numId w:val="12"/>
        </w:numPr>
        <w:spacing w:before="120" w:after="240" w:line="276" w:lineRule="auto"/>
        <w:ind w:left="714" w:right="-285" w:hanging="357"/>
      </w:pPr>
      <w:r>
        <w:t>Pozos construidos “in situ”</w:t>
      </w:r>
    </w:p>
    <w:p w:rsidR="00C7085E" w:rsidRDefault="00C7085E" w:rsidP="00B71B1A">
      <w:pPr>
        <w:spacing w:before="120" w:after="240" w:line="276" w:lineRule="auto"/>
        <w:ind w:right="-285"/>
      </w:pPr>
      <w:r>
        <w:t>En el caso de redes de abastecimiento y reutilización, la solera de los pozos construidos in situ deberá ser siempre de hormigón armado y estarán dimensionados para soportar la presión hidrostática.</w:t>
      </w:r>
    </w:p>
    <w:p w:rsidR="00C7085E" w:rsidRDefault="00C7085E" w:rsidP="00B71B1A">
      <w:pPr>
        <w:spacing w:before="120" w:after="240" w:line="276" w:lineRule="auto"/>
        <w:ind w:right="-285"/>
      </w:pPr>
      <w:r>
        <w:t>En el caso de redes de saneamiento la solera será de hormigón armado o en masa, y deberá tener conformada una media caña del mismo material que la conducción que le acomete. El espesor de la misma por debajo de la generatriz inferior de la cuna no será inferior a 30 cm</w:t>
      </w:r>
    </w:p>
    <w:p w:rsidR="00C7085E" w:rsidRDefault="00C7085E" w:rsidP="00B71B1A">
      <w:pPr>
        <w:spacing w:before="120" w:after="240" w:line="276" w:lineRule="auto"/>
        <w:ind w:right="-285"/>
      </w:pPr>
      <w:r>
        <w:t xml:space="preserve">Los alzados serán en general, de hormigón armado o fábrica de ladrillo macizo. En el caso </w:t>
      </w:r>
      <w:r>
        <w:lastRenderedPageBreak/>
        <w:t>de fábrica de ladrillo, ésta será de ladrillo macizo enfoscado interiormente mediante mortero hidrófugo bruñido.</w:t>
      </w:r>
    </w:p>
    <w:p w:rsidR="00C7085E" w:rsidRDefault="00C7085E" w:rsidP="00B71B1A">
      <w:pPr>
        <w:widowControl/>
        <w:numPr>
          <w:ilvl w:val="0"/>
          <w:numId w:val="12"/>
        </w:numPr>
        <w:spacing w:before="120" w:after="240" w:line="276" w:lineRule="auto"/>
        <w:ind w:left="714" w:right="-285" w:hanging="357"/>
      </w:pPr>
      <w:r>
        <w:t>Pozos prefabricados de PRFV</w:t>
      </w:r>
    </w:p>
    <w:p w:rsidR="00C7085E" w:rsidRDefault="00C7085E" w:rsidP="00B71B1A">
      <w:pPr>
        <w:spacing w:before="120" w:after="240" w:line="276" w:lineRule="auto"/>
        <w:ind w:right="-285"/>
      </w:pPr>
      <w:r>
        <w:t>Deberán cumplir con lo especificado en la norma DIN 19565.</w:t>
      </w:r>
    </w:p>
    <w:p w:rsidR="00C7085E" w:rsidRDefault="00C7085E" w:rsidP="00B71B1A">
      <w:pPr>
        <w:widowControl/>
        <w:numPr>
          <w:ilvl w:val="0"/>
          <w:numId w:val="12"/>
        </w:numPr>
        <w:spacing w:before="120" w:after="240" w:line="276" w:lineRule="auto"/>
        <w:ind w:left="714" w:right="-285" w:hanging="357"/>
      </w:pPr>
      <w:r>
        <w:t>Pozos prefabricados de material termoplástico de pared estructurada</w:t>
      </w:r>
    </w:p>
    <w:p w:rsidR="00C7085E" w:rsidRDefault="00C7085E" w:rsidP="00B71B1A">
      <w:pPr>
        <w:spacing w:before="120" w:after="240" w:line="276" w:lineRule="auto"/>
        <w:ind w:right="-285"/>
        <w:rPr>
          <w:i/>
        </w:rPr>
      </w:pPr>
      <w:r>
        <w:t>Los pozos prefabricados de materiales termoplásticos de pared estructurada, deberán cumplir lo especificado en la UNE-EN 13598: “</w:t>
      </w:r>
      <w:r>
        <w:rPr>
          <w:i/>
        </w:rPr>
        <w:t>Sistemas de canalización en materiales plásticos para saneamiento y evacuación enterrados sin presión. Policloruro de vinilo no plastificado (PVC-U), polipropileno (PP) y polietileno (PE). Parte 1: Especificaciones para los accesorios auxiliares incluyendo las arquetas de inspección poco profundas.”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pozos se medirán por unidad (ud) realmente ejecutada en obra y se abonarán al precio que corresponda, en función del tipo de que se trate, del material constitutivo y de sus dimensiones, de los que figuren en el Cuadro de Precios vigente de Canal de Isabel II Gestión.</w:t>
      </w:r>
    </w:p>
    <w:p w:rsidR="00C7085E" w:rsidRDefault="00C7085E" w:rsidP="00B71B1A">
      <w:pPr>
        <w:spacing w:before="120" w:after="240" w:line="276" w:lineRule="auto"/>
        <w:ind w:right="-285"/>
      </w:pPr>
      <w:r>
        <w:t>En el precio de cada unidad se consideran incluidos todos los materiales, medios auxiliares, mano de obra y operaciones necesarios para terminar totalmente la unidad considerada.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82" w:name="_Toc414021861"/>
      <w:bookmarkStart w:id="583" w:name="_Toc448741450"/>
      <w:r>
        <w:t>Arquetas</w:t>
      </w:r>
      <w:bookmarkEnd w:id="582"/>
      <w:bookmarkEnd w:id="583"/>
    </w:p>
    <w:p w:rsidR="00C7085E" w:rsidRDefault="00C7085E" w:rsidP="00B71B1A">
      <w:pPr>
        <w:spacing w:before="120" w:after="240" w:line="276" w:lineRule="auto"/>
        <w:ind w:right="-285"/>
      </w:pPr>
      <w:r>
        <w:t>Se define como arqueta los alojamientos no visitables. Estas podrán ser construidas “in situ” o prefabricadas.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 xml:space="preserve">La solera de las arquetas construidas “in situ” deberá ser siempre de hormigón en masa o armado y deberá tener como mínimo veinte centímetros (20 cm) de espesor. Los alzados serán de fábrica de ladrillo perforado de ½ pie, enfoscado interiormente mediante mortero hidrófugo bruñido.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arquetas se medirán por unidades (ud) realmente ejecutadas en obra y se abonarán al precio que corresponda, en función de sus dimensiones, de los que figuren en el Cuadro de Precios vigente de Canal de Isabel II Gestión.</w:t>
      </w:r>
    </w:p>
    <w:p w:rsidR="00C7085E" w:rsidRDefault="00C7085E" w:rsidP="00B71B1A">
      <w:pPr>
        <w:spacing w:before="120" w:after="240" w:line="276" w:lineRule="auto"/>
        <w:ind w:right="-285"/>
      </w:pPr>
      <w:r>
        <w:t>En el precio de cada unidad se consideran incluidos todos los materiales, medios auxiliares, mano de obra y operaciones necesarios para terminar totalmente la unidad considerada, incluso cerco y tapa de hormigón prefabricado o de fundición, según corresponda.</w:t>
      </w:r>
    </w:p>
    <w:p w:rsidR="0032619C" w:rsidRDefault="0032619C"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84" w:name="_Toc414021862"/>
      <w:bookmarkStart w:id="585" w:name="_Toc448741451"/>
      <w:r>
        <w:lastRenderedPageBreak/>
        <w:t>Cámaras</w:t>
      </w:r>
      <w:bookmarkEnd w:id="584"/>
      <w:bookmarkEnd w:id="585"/>
      <w:r>
        <w:t xml:space="preserve"> </w:t>
      </w:r>
    </w:p>
    <w:p w:rsidR="00C7085E" w:rsidRDefault="00C7085E" w:rsidP="00B71B1A">
      <w:pPr>
        <w:spacing w:before="120" w:after="240" w:line="276" w:lineRule="auto"/>
        <w:ind w:right="-285"/>
      </w:pPr>
      <w:r>
        <w:t>Las cámaras son alojamientos visitables, en los cuales, aunque su acceso puede realizarse a través de una tapa normalizada, junto a ésta se dispone de una cubierta a base de losas desmontables de hormigón armado (cobijas), que en caso necesario, pueden ser retiradas para realizar operaciones de mantenimiento.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Todas las cámaras serán de hormigón armado y por tanto, deberán cumplir con las prescripciones de la Instrucción de Hormigón Estructural (EHE).</w:t>
      </w:r>
    </w:p>
    <w:p w:rsidR="00C7085E" w:rsidRDefault="00C7085E" w:rsidP="00B71B1A">
      <w:pPr>
        <w:spacing w:before="120" w:after="240" w:line="276" w:lineRule="auto"/>
        <w:ind w:right="-285"/>
        <w:rPr>
          <w:rFonts w:ascii="TimesNewRoman" w:hAnsi="TimesNewRoman" w:cs="TimesNewRoman"/>
          <w:szCs w:val="22"/>
        </w:rPr>
      </w:pPr>
      <w:r>
        <w:rPr>
          <w:rFonts w:ascii="TimesNewRoman" w:hAnsi="TimesNewRoman" w:cs="TimesNewRoman"/>
          <w:szCs w:val="22"/>
        </w:rPr>
        <w:t xml:space="preserve">Deberán ir previstas de distintos elementos auxiliares, los cuales deberán cumplir lo especificado en el </w:t>
      </w:r>
      <w:r w:rsidR="00DF30E5">
        <w:fldChar w:fldCharType="begin"/>
      </w:r>
      <w:r w:rsidR="00DF30E5">
        <w:instrText xml:space="preserve"> REF _Ref423090035 \r \h  \* MERGEFORMAT </w:instrText>
      </w:r>
      <w:r w:rsidR="00DF30E5">
        <w:fldChar w:fldCharType="separate"/>
      </w:r>
      <w:r w:rsidR="006B1686" w:rsidRPr="006B1686">
        <w:rPr>
          <w:rFonts w:ascii="TimesNewRoman" w:hAnsi="TimesNewRoman" w:cs="TimesNewRoman"/>
          <w:szCs w:val="22"/>
        </w:rPr>
        <w:t>Artículo 4.7.5</w:t>
      </w:r>
      <w:r w:rsidR="00DF30E5">
        <w:fldChar w:fldCharType="end"/>
      </w:r>
      <w:r>
        <w:rPr>
          <w:rFonts w:ascii="TimesNewRoman" w:hAnsi="TimesNewRoman" w:cs="TimesNewRoman"/>
          <w:szCs w:val="22"/>
        </w:rPr>
        <w:t xml:space="preserve"> de este Pliego.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szCs w:val="20"/>
        </w:rPr>
      </w:pPr>
      <w:r>
        <w:t>Medición y abono</w:t>
      </w:r>
    </w:p>
    <w:p w:rsidR="00C7085E" w:rsidRDefault="00C7085E" w:rsidP="00B71B1A">
      <w:pPr>
        <w:spacing w:before="120" w:after="240" w:line="276" w:lineRule="auto"/>
        <w:ind w:right="-285"/>
      </w:pPr>
      <w:r>
        <w:t>Las cámaras, al tratarse de estructuras de hormigón armado, se medirán y abonarán mediante las correspondientes unidades de hormigón, acero, etc., según los precios unitarios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86" w:name="_Toc414021863"/>
      <w:bookmarkStart w:id="587" w:name="_Ref399493672"/>
      <w:bookmarkStart w:id="588" w:name="_Toc448741452"/>
      <w:r>
        <w:t>Dispositivos de cubrimiento de pozos, arquetas y cámaras</w:t>
      </w:r>
      <w:bookmarkEnd w:id="586"/>
      <w:bookmarkEnd w:id="587"/>
      <w:bookmarkEnd w:id="588"/>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Los dispositivos de cubrimiento estarán formados por marco y tapa, siendo el primero el elemento fijado al alojamiento que recibe la tapa y le sirve de asiento. La tapa es el elemento móvil que cubre la abertura para el acceso.</w:t>
      </w:r>
    </w:p>
    <w:p w:rsidR="00C7085E" w:rsidRDefault="00C7085E" w:rsidP="00B71B1A">
      <w:pPr>
        <w:spacing w:before="120" w:after="240" w:line="276" w:lineRule="auto"/>
        <w:ind w:right="-285"/>
        <w:rPr>
          <w:i/>
        </w:rPr>
      </w:pPr>
      <w:r>
        <w:t xml:space="preserve">Los marcos y tapas deberán cumplir con lo especificado en la norma UNE-EN 124: </w:t>
      </w:r>
      <w:r>
        <w:rPr>
          <w:i/>
        </w:rPr>
        <w:t>“Dispositivos de cubrimiento y de cierre para zonas de circulación utilizadas por peatones y vehículos. Principios de construcción, ensayos de tipo, marcado, control de calidad”.</w:t>
      </w:r>
    </w:p>
    <w:p w:rsidR="00C7085E" w:rsidRDefault="00C7085E" w:rsidP="00B71B1A">
      <w:pPr>
        <w:spacing w:before="120" w:after="240" w:line="276" w:lineRule="auto"/>
        <w:ind w:right="-285"/>
      </w:pPr>
      <w:r>
        <w:t>El aseguramiento de la tapa al marco podrá realizarse por una de las siguientes formas:</w:t>
      </w:r>
    </w:p>
    <w:p w:rsidR="00C7085E" w:rsidRDefault="00C7085E" w:rsidP="00B71B1A">
      <w:pPr>
        <w:widowControl/>
        <w:numPr>
          <w:ilvl w:val="0"/>
          <w:numId w:val="12"/>
        </w:numPr>
        <w:suppressAutoHyphens/>
        <w:spacing w:before="120" w:after="240" w:line="276" w:lineRule="auto"/>
        <w:ind w:left="714" w:right="-285" w:hanging="357"/>
      </w:pPr>
      <w:r>
        <w:t>Con un dispositivo de acerrojado: Cierre con llave.</w:t>
      </w:r>
    </w:p>
    <w:p w:rsidR="00C7085E" w:rsidRDefault="00C7085E" w:rsidP="00B71B1A">
      <w:pPr>
        <w:widowControl/>
        <w:numPr>
          <w:ilvl w:val="0"/>
          <w:numId w:val="12"/>
        </w:numPr>
        <w:suppressAutoHyphens/>
        <w:spacing w:before="120" w:after="240" w:line="276" w:lineRule="auto"/>
        <w:ind w:left="714" w:right="-285" w:hanging="357"/>
      </w:pPr>
      <w:r>
        <w:t>Con suficiente masa superficial: Peso.</w:t>
      </w:r>
    </w:p>
    <w:p w:rsidR="00C7085E" w:rsidRDefault="00C7085E" w:rsidP="00B71B1A">
      <w:pPr>
        <w:widowControl/>
        <w:numPr>
          <w:ilvl w:val="0"/>
          <w:numId w:val="12"/>
        </w:numPr>
        <w:suppressAutoHyphens/>
        <w:spacing w:before="120" w:after="240" w:line="276" w:lineRule="auto"/>
        <w:ind w:left="714" w:right="-285" w:hanging="357"/>
      </w:pPr>
      <w:r>
        <w:t xml:space="preserve">Con una característica específica de diseño: Dispositivo adicional de cierre o varios dispositivos combinados: mecanismo elástico radial o circunferencial, </w:t>
      </w:r>
      <w:r>
        <w:rPr>
          <w:rFonts w:cs="Arial"/>
          <w:szCs w:val="22"/>
        </w:rPr>
        <w:t>bisagra o articulación, pestañas perimetrales…</w:t>
      </w:r>
    </w:p>
    <w:p w:rsidR="00C7085E" w:rsidRDefault="00C7085E" w:rsidP="00B71B1A">
      <w:pPr>
        <w:spacing w:before="120" w:after="240" w:line="276" w:lineRule="auto"/>
        <w:ind w:right="-285"/>
      </w:pPr>
      <w:r>
        <w:t>El aseguramiento de la tapa al marco mediante cualquiera de los procedimientos anteriores o combinación de los mismos, dependerá del diseño de cada dispositivo.</w:t>
      </w:r>
    </w:p>
    <w:p w:rsidR="00C7085E" w:rsidRDefault="00C7085E" w:rsidP="00B71B1A">
      <w:pPr>
        <w:spacing w:before="120" w:after="240" w:line="276" w:lineRule="auto"/>
        <w:ind w:right="-285"/>
      </w:pPr>
      <w:r>
        <w:t>La clase resistente del dispositivo de cierre (A15, B125; C250, D400; E600, F900) dependerá del lugar de instalación.</w:t>
      </w:r>
    </w:p>
    <w:p w:rsidR="00C7085E" w:rsidRDefault="00C7085E" w:rsidP="00B71B1A">
      <w:pPr>
        <w:spacing w:before="120" w:after="240" w:line="276" w:lineRule="auto"/>
        <w:ind w:right="-285"/>
      </w:pPr>
      <w:r>
        <w:lastRenderedPageBreak/>
        <w:t>En el caso de las cámaras, se incluirá un dispositivo de cierre específico para operaciones de mantenimiento cuya tapa estará formada por losas desmontables (cobijas) de hormigón armado canteadas con perfiles normalizados de acero.</w:t>
      </w:r>
    </w:p>
    <w:p w:rsidR="00C7085E" w:rsidRDefault="00C7085E" w:rsidP="00B71B1A">
      <w:pPr>
        <w:spacing w:before="120" w:after="240" w:line="276" w:lineRule="auto"/>
        <w:ind w:right="-285"/>
      </w:pPr>
      <w:r>
        <w:t>Excepto las cobijas empleadas en las cámaras, los dispositivos de cubrimiento cumplirán los siguientes requisitos:</w:t>
      </w:r>
    </w:p>
    <w:p w:rsidR="00C7085E" w:rsidRDefault="00C7085E" w:rsidP="00B71B1A">
      <w:pPr>
        <w:widowControl/>
        <w:numPr>
          <w:ilvl w:val="0"/>
          <w:numId w:val="12"/>
        </w:numPr>
        <w:spacing w:before="120" w:after="240" w:line="276" w:lineRule="auto"/>
        <w:ind w:left="714" w:right="-285" w:hanging="357"/>
      </w:pPr>
      <w:r>
        <w:t>Serán de fundición dúctil, hormigón armado, o mixtas de hormigón y acero.</w:t>
      </w:r>
    </w:p>
    <w:p w:rsidR="00C7085E" w:rsidRDefault="00C7085E" w:rsidP="00B71B1A">
      <w:pPr>
        <w:widowControl/>
        <w:numPr>
          <w:ilvl w:val="0"/>
          <w:numId w:val="12"/>
        </w:numPr>
        <w:spacing w:before="120" w:after="240" w:line="276" w:lineRule="auto"/>
        <w:ind w:left="714" w:right="-285" w:hanging="357"/>
      </w:pPr>
      <w:r>
        <w:t>Los marcos podrán ser redondos o cuadrados.</w:t>
      </w:r>
    </w:p>
    <w:p w:rsidR="00C7085E" w:rsidRDefault="00C7085E" w:rsidP="00B71B1A">
      <w:pPr>
        <w:widowControl/>
        <w:numPr>
          <w:ilvl w:val="0"/>
          <w:numId w:val="12"/>
        </w:numPr>
        <w:spacing w:before="120" w:after="240" w:line="276" w:lineRule="auto"/>
        <w:ind w:left="714" w:right="-285" w:hanging="357"/>
      </w:pPr>
      <w:r>
        <w:t>Las tapas serán redondas o cuadradas</w:t>
      </w:r>
    </w:p>
    <w:p w:rsidR="00C7085E" w:rsidRDefault="00C7085E" w:rsidP="00B71B1A">
      <w:pPr>
        <w:widowControl/>
        <w:numPr>
          <w:ilvl w:val="0"/>
          <w:numId w:val="12"/>
        </w:numPr>
        <w:spacing w:before="120" w:after="240" w:line="276" w:lineRule="auto"/>
        <w:ind w:left="714" w:right="-285" w:hanging="357"/>
      </w:pPr>
      <w:r>
        <w:t>En alojamientos visitables la cota de paso mínima será de 600 mm</w:t>
      </w:r>
    </w:p>
    <w:p w:rsidR="00C7085E" w:rsidRDefault="00C7085E" w:rsidP="00B71B1A">
      <w:pPr>
        <w:spacing w:before="120" w:after="240" w:line="276" w:lineRule="auto"/>
        <w:ind w:right="-285"/>
      </w:pPr>
      <w:r>
        <w:t>Todo dispositivo deberá estar marcado de manera duradera y visible tras la instalación conforme a lo que se establece en la Norma UNE-EN 124 y deberá constar de:</w:t>
      </w:r>
    </w:p>
    <w:p w:rsidR="00C7085E" w:rsidRDefault="00C7085E" w:rsidP="00B71B1A">
      <w:pPr>
        <w:widowControl/>
        <w:numPr>
          <w:ilvl w:val="0"/>
          <w:numId w:val="12"/>
        </w:numPr>
        <w:spacing w:before="120" w:after="240" w:line="276" w:lineRule="auto"/>
        <w:ind w:left="714" w:right="-285" w:hanging="357"/>
      </w:pPr>
      <w:r>
        <w:t>Referencia a la norma UNE-EN 124</w:t>
      </w:r>
    </w:p>
    <w:p w:rsidR="00C7085E" w:rsidRDefault="00C7085E" w:rsidP="00B71B1A">
      <w:pPr>
        <w:widowControl/>
        <w:numPr>
          <w:ilvl w:val="0"/>
          <w:numId w:val="12"/>
        </w:numPr>
        <w:spacing w:before="120" w:after="240" w:line="276" w:lineRule="auto"/>
        <w:ind w:left="714" w:right="-285" w:hanging="357"/>
      </w:pPr>
      <w:r>
        <w:t>Clase Resistente.</w:t>
      </w:r>
    </w:p>
    <w:p w:rsidR="00C7085E" w:rsidRDefault="00C7085E" w:rsidP="00B71B1A">
      <w:pPr>
        <w:widowControl/>
        <w:numPr>
          <w:ilvl w:val="0"/>
          <w:numId w:val="12"/>
        </w:numPr>
        <w:spacing w:before="120" w:after="240" w:line="276" w:lineRule="auto"/>
        <w:ind w:left="714" w:right="-285" w:hanging="357"/>
      </w:pPr>
      <w:r>
        <w:t>Información del fabricante: Nombre y/o sigla del mismo y lugar de fabricación.</w:t>
      </w:r>
    </w:p>
    <w:p w:rsidR="00C7085E" w:rsidRDefault="00C7085E" w:rsidP="00B71B1A">
      <w:pPr>
        <w:widowControl/>
        <w:numPr>
          <w:ilvl w:val="0"/>
          <w:numId w:val="12"/>
        </w:numPr>
        <w:spacing w:before="120" w:after="240" w:line="276" w:lineRule="auto"/>
        <w:ind w:left="714" w:right="-285" w:hanging="357"/>
      </w:pPr>
      <w:r>
        <w:t>Marca de organismo de certificación.</w:t>
      </w:r>
    </w:p>
    <w:p w:rsidR="00C7085E" w:rsidRDefault="00C7085E" w:rsidP="00B71B1A">
      <w:pPr>
        <w:spacing w:before="120" w:after="240" w:line="276" w:lineRule="auto"/>
        <w:ind w:right="-285"/>
      </w:pPr>
      <w:r>
        <w:t>Adicionalmente podrá identificarse el producto con nombre y/o referencia de catálogo.</w:t>
      </w:r>
    </w:p>
    <w:p w:rsidR="00C7085E" w:rsidRDefault="00C7085E" w:rsidP="00B71B1A">
      <w:pPr>
        <w:spacing w:before="120" w:after="240" w:line="276" w:lineRule="auto"/>
        <w:ind w:right="-285"/>
      </w:pPr>
      <w:r>
        <w:t xml:space="preserve">Además de las anteriores prescripciones de la Norma UNE-EN 124, en los dispositivos de cierre se incluirá la Imagen Corporativa de Canal de Isabel II Gestión y la indicación del Servicio, ABASTECIMIENTO, SANEAMIENTO o REUTILIZACIÓN. </w:t>
      </w:r>
    </w:p>
    <w:p w:rsidR="00C7085E" w:rsidRDefault="00C7085E" w:rsidP="00B71B1A">
      <w:pPr>
        <w:spacing w:before="120" w:after="240" w:line="276" w:lineRule="auto"/>
        <w:ind w:right="-285"/>
      </w:pPr>
      <w:r>
        <w:t xml:space="preserve">El diseño y la ubicación del marcado completo deberán ser aprobados por los Servicios Técnicos de Canal de Isabel II Gestión.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El Adjudicatario deberá facilitar a la Dirección de Obra la documentación técnica relativa a los dispositivos de cubrimiento, donde se indiquen las características técnicas, materias primas, proceso de fabricación y control de calidad durante el mismo, certificaciones de producto y recomendaciones de instalación y manipulación de los mismos.</w:t>
      </w:r>
    </w:p>
    <w:p w:rsidR="00C7085E" w:rsidRDefault="00C7085E" w:rsidP="00B71B1A">
      <w:pPr>
        <w:spacing w:before="120" w:after="240" w:line="276" w:lineRule="auto"/>
        <w:ind w:right="-285"/>
      </w:pPr>
      <w:r>
        <w:t>Será requisito indispensable que los dispositivos de cubrimiento dispongan de certificado de producto conforme a lo establecido en la UNE-EN 124.</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 xml:space="preserve">Los dispositivos de cubrimiento se medirán por unidades (ud) colocadas en obra y se abonarán al precio que corresponda de los que figuren en el Cuadro de Precios vigente de </w:t>
      </w:r>
      <w:r>
        <w:lastRenderedPageBreak/>
        <w:t>Canal de Isabel II Gestión.</w:t>
      </w:r>
    </w:p>
    <w:p w:rsidR="00C7085E" w:rsidRDefault="00C7085E" w:rsidP="00B71B1A">
      <w:pPr>
        <w:spacing w:before="120" w:after="240" w:line="276" w:lineRule="auto"/>
        <w:ind w:right="-285"/>
      </w:pPr>
      <w:r>
        <w:t>Las losas y cobijas se medirán por metros cuadrados (m</w:t>
      </w:r>
      <w:r>
        <w:rPr>
          <w:vertAlign w:val="superscript"/>
        </w:rPr>
        <w:t>2</w:t>
      </w:r>
      <w:r>
        <w:t>) de superficie cubierta y se abonarán mediante la aplicación del precio que corresponda,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89" w:name="_Ref423090035"/>
      <w:bookmarkStart w:id="590" w:name="_Toc448741453"/>
      <w:r>
        <w:t>Elementos complementarios</w:t>
      </w:r>
      <w:bookmarkEnd w:id="589"/>
      <w:bookmarkEnd w:id="590"/>
    </w:p>
    <w:p w:rsidR="00C7085E" w:rsidRDefault="00C7085E" w:rsidP="00B71B1A">
      <w:pPr>
        <w:keepNext/>
        <w:keepLines/>
        <w:spacing w:before="120" w:after="240" w:line="276" w:lineRule="auto"/>
        <w:ind w:right="-285"/>
        <w:rPr>
          <w:rFonts w:ascii="TimesNewRoman" w:hAnsi="TimesNewRoman" w:cs="TimesNewRoman"/>
          <w:szCs w:val="22"/>
        </w:rPr>
      </w:pPr>
      <w:r>
        <w:t>Los alojamientos deberán ir provistos</w:t>
      </w:r>
      <w:r>
        <w:rPr>
          <w:rFonts w:ascii="TimesNewRoman" w:hAnsi="TimesNewRoman" w:cs="TimesNewRoman"/>
          <w:szCs w:val="22"/>
        </w:rPr>
        <w:t>, además de con un dispositivo de cierre, con distintos elementos auxiliares:</w:t>
      </w:r>
    </w:p>
    <w:p w:rsidR="00C7085E" w:rsidRDefault="00C7085E" w:rsidP="00B71B1A">
      <w:pPr>
        <w:keepNext/>
        <w:keepLines/>
        <w:widowControl/>
        <w:numPr>
          <w:ilvl w:val="0"/>
          <w:numId w:val="12"/>
        </w:numPr>
        <w:spacing w:before="120" w:after="240" w:line="276" w:lineRule="auto"/>
        <w:ind w:left="714" w:right="-285" w:hanging="357"/>
      </w:pPr>
      <w:r>
        <w:t xml:space="preserve">Pates de acceso </w:t>
      </w:r>
    </w:p>
    <w:p w:rsidR="00C7085E" w:rsidRDefault="00C7085E" w:rsidP="00B71B1A">
      <w:pPr>
        <w:widowControl/>
        <w:numPr>
          <w:ilvl w:val="0"/>
          <w:numId w:val="12"/>
        </w:numPr>
        <w:spacing w:before="120" w:after="240" w:line="276" w:lineRule="auto"/>
        <w:ind w:left="714" w:right="-285" w:hanging="357"/>
      </w:pPr>
      <w:r>
        <w:t>Escaleras</w:t>
      </w:r>
    </w:p>
    <w:p w:rsidR="00C7085E" w:rsidRDefault="00C7085E" w:rsidP="00B71B1A">
      <w:pPr>
        <w:widowControl/>
        <w:numPr>
          <w:ilvl w:val="0"/>
          <w:numId w:val="12"/>
        </w:numPr>
        <w:spacing w:before="120" w:after="240" w:line="276" w:lineRule="auto"/>
        <w:ind w:left="714" w:right="-285" w:hanging="357"/>
      </w:pPr>
      <w:r>
        <w:t>Pasarelas y plataformas</w:t>
      </w:r>
    </w:p>
    <w:p w:rsidR="00C7085E" w:rsidRDefault="00C7085E" w:rsidP="00B71B1A">
      <w:pPr>
        <w:widowControl/>
        <w:numPr>
          <w:ilvl w:val="0"/>
          <w:numId w:val="12"/>
        </w:numPr>
        <w:spacing w:before="120" w:after="240" w:line="276" w:lineRule="auto"/>
        <w:ind w:left="714" w:right="-285" w:hanging="357"/>
      </w:pPr>
      <w:r>
        <w:t>Barandillas y cadenas de seguridad</w:t>
      </w:r>
    </w:p>
    <w:p w:rsidR="00C7085E" w:rsidRDefault="00C7085E" w:rsidP="00B71B1A">
      <w:pPr>
        <w:widowControl/>
        <w:numPr>
          <w:ilvl w:val="0"/>
          <w:numId w:val="12"/>
        </w:numPr>
        <w:spacing w:before="120" w:after="240" w:line="276" w:lineRule="auto"/>
        <w:ind w:left="714" w:right="-285" w:hanging="357"/>
      </w:pPr>
      <w:r>
        <w:t>Rejilla tipo trámex</w:t>
      </w:r>
    </w:p>
    <w:p w:rsidR="00C7085E" w:rsidRDefault="00C7085E" w:rsidP="00B71B1A">
      <w:pPr>
        <w:spacing w:before="120" w:after="240" w:line="276" w:lineRule="auto"/>
        <w:ind w:right="-285"/>
      </w:pPr>
      <w:r>
        <w:t>Este artículo hace referencia a los principales elementos auxiliares a colocar en las distintas instalaciones de Canal de Isabel II Gestión.</w:t>
      </w:r>
    </w:p>
    <w:p w:rsidR="00C7085E" w:rsidRDefault="00C7085E" w:rsidP="00B71B1A">
      <w:pPr>
        <w:spacing w:before="120" w:after="240" w:line="276" w:lineRule="auto"/>
        <w:ind w:right="-285"/>
      </w:pPr>
      <w:r>
        <w:t xml:space="preserve">En el caso de elementos galvanizados, será de aplicación lo especificado en la norma UNE-EN ISO 1461: </w:t>
      </w:r>
      <w:r>
        <w:rPr>
          <w:i/>
        </w:rPr>
        <w:t>“Recubrimientos de galvanización en caliente sobre piezas de hierro y acero. Especificaciones y métodos de ensayo”.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591" w:name="_Ref423089965"/>
      <w:r>
        <w:t>Materiales</w:t>
      </w:r>
      <w:bookmarkEnd w:id="591"/>
    </w:p>
    <w:p w:rsidR="00C7085E" w:rsidRDefault="00C7085E" w:rsidP="00B71B1A">
      <w:pPr>
        <w:widowControl/>
        <w:numPr>
          <w:ilvl w:val="0"/>
          <w:numId w:val="12"/>
        </w:numPr>
        <w:spacing w:before="120" w:after="240" w:line="276" w:lineRule="auto"/>
        <w:ind w:left="714" w:right="-285" w:hanging="357"/>
        <w:rPr>
          <w:b/>
        </w:rPr>
      </w:pPr>
      <w:r>
        <w:rPr>
          <w:b/>
        </w:rPr>
        <w:t>Pates</w:t>
      </w:r>
    </w:p>
    <w:p w:rsidR="00C7085E" w:rsidRDefault="00C7085E" w:rsidP="00B71B1A">
      <w:pPr>
        <w:spacing w:before="120" w:after="240" w:line="276" w:lineRule="auto"/>
        <w:ind w:right="-285"/>
        <w:rPr>
          <w:i/>
        </w:rPr>
      </w:pPr>
      <w:r>
        <w:t xml:space="preserve">Los pates a instalar en las obras de fábrica serán de polipropileno con alma de acero y deberán cumplir con lo especificado para los mismos en la norma UNE-EN 13101: </w:t>
      </w:r>
      <w:r>
        <w:rPr>
          <w:i/>
        </w:rPr>
        <w:t>“Pates para pozos de registro enterrados. Requisitos, marcado, ensayos y evaluación de conformidad”.</w:t>
      </w:r>
    </w:p>
    <w:p w:rsidR="00C7085E" w:rsidRDefault="00C7085E" w:rsidP="00B71B1A">
      <w:pPr>
        <w:spacing w:before="120" w:after="240" w:line="276" w:lineRule="auto"/>
        <w:ind w:right="-285"/>
        <w:rPr>
          <w:i/>
        </w:rPr>
      </w:pPr>
      <w:r>
        <w:t>Cuando los pates se coloquen en obras de fábrica de hormigón deberán cumplir con lo especificado para ellos en las normas UNE-EN 1917: “</w:t>
      </w:r>
      <w:r>
        <w:rPr>
          <w:i/>
        </w:rPr>
        <w:t xml:space="preserve">Pozos de registro y cámaras de inspección de hormigón en masa, hormigón armado y hormigón con fibras de acero” </w:t>
      </w:r>
      <w:r>
        <w:t>y en la UNE 127917: “</w:t>
      </w:r>
      <w:r>
        <w:rPr>
          <w:i/>
        </w:rPr>
        <w:t>Pozos de registro y cámaras de inspección de hormigón en masa, de hormigón con fibra de acero y de hormigón armado. Complemento nacional a la Norma UNE-EN 1917”.</w:t>
      </w:r>
    </w:p>
    <w:p w:rsidR="00C7085E" w:rsidRDefault="00C7085E" w:rsidP="00B71B1A">
      <w:pPr>
        <w:spacing w:before="120" w:after="240" w:line="276" w:lineRule="auto"/>
        <w:ind w:right="-285"/>
      </w:pPr>
      <w:r>
        <w:t>La distancia mínima entre la pared de la obra de fábrica y la cara exterior del pate será de doce centímetros (12 cm) y la separación mínima entre ejes de pates será de veinticinco centímetros (25 cm)</w:t>
      </w:r>
    </w:p>
    <w:p w:rsidR="00C7085E" w:rsidRDefault="00C7085E" w:rsidP="00B71B1A">
      <w:pPr>
        <w:spacing w:before="120" w:after="240" w:line="276" w:lineRule="auto"/>
        <w:ind w:right="-285"/>
      </w:pPr>
      <w:r>
        <w:t>Los pates se dispondrán en una única alineación vertical.</w:t>
      </w:r>
    </w:p>
    <w:p w:rsidR="00C7085E" w:rsidRDefault="00C7085E" w:rsidP="00B71B1A">
      <w:pPr>
        <w:keepNext/>
        <w:widowControl/>
        <w:numPr>
          <w:ilvl w:val="0"/>
          <w:numId w:val="12"/>
        </w:numPr>
        <w:spacing w:before="120" w:after="240" w:line="276" w:lineRule="auto"/>
        <w:ind w:left="714" w:right="-285" w:hanging="357"/>
        <w:rPr>
          <w:b/>
        </w:rPr>
      </w:pPr>
      <w:r>
        <w:rPr>
          <w:b/>
        </w:rPr>
        <w:lastRenderedPageBreak/>
        <w:t>Escaleras</w:t>
      </w:r>
    </w:p>
    <w:p w:rsidR="00C7085E" w:rsidRDefault="00C7085E" w:rsidP="00B71B1A">
      <w:pPr>
        <w:spacing w:before="120" w:after="240" w:line="276" w:lineRule="auto"/>
        <w:ind w:right="-285"/>
      </w:pPr>
      <w:r>
        <w:t>Las escaleras serán fijas, ancladas a la pared de la estructura o transportables. En este último caso, podrán ser de una sola pieza o telescópicas y deberán ajustarse a lo establecido en su normativa específica.</w:t>
      </w:r>
    </w:p>
    <w:p w:rsidR="00C7085E" w:rsidRDefault="00C7085E" w:rsidP="00B71B1A">
      <w:pPr>
        <w:spacing w:before="120" w:after="240" w:line="276" w:lineRule="auto"/>
        <w:ind w:right="-285"/>
      </w:pPr>
      <w:r>
        <w:t>Las escaleras fijas de acceso a los alojamientos o a las obras de fábrica deberán cumplir con lo especificado para las mismas en la norma UNE-EN 14396: “</w:t>
      </w:r>
      <w:r>
        <w:rPr>
          <w:i/>
        </w:rPr>
        <w:t xml:space="preserve">Escaleras fijas para pozos de registro” </w:t>
      </w:r>
      <w:r>
        <w:t>y Real Decreto 486/1997, de 14 de abril, por el que se establecen las disposiciones mínimas de seguridad y salud en los lugares de trabajo.</w:t>
      </w:r>
    </w:p>
    <w:p w:rsidR="00C7085E" w:rsidRDefault="00C7085E" w:rsidP="00B71B1A">
      <w:pPr>
        <w:spacing w:before="120" w:after="240" w:line="276" w:lineRule="auto"/>
        <w:ind w:right="-285"/>
      </w:pPr>
      <w:r>
        <w:t>La anchura mínima de las escalas fijas será de cuarenta centímetros (40 cm) y la distancia máxima entre peldaños de treinta centímetros (30 cm).</w:t>
      </w:r>
    </w:p>
    <w:p w:rsidR="00C7085E" w:rsidRDefault="00C7085E" w:rsidP="00B71B1A">
      <w:pPr>
        <w:spacing w:before="120" w:after="240" w:line="276" w:lineRule="auto"/>
        <w:ind w:right="-285"/>
      </w:pPr>
      <w:r>
        <w:t>Cuando el paso desde el tramo final de una escala fija hasta la superficie a la que se desea acceder suponga un riesgo de caída por falta de apoyos, la barandilla o lateral de la escala se prolongará al menos 1 metro por encima del último peldaño o se tomarán medidas alternativas que proporcionen una seguridad equivalente.</w:t>
      </w:r>
    </w:p>
    <w:p w:rsidR="00C7085E" w:rsidRDefault="00C7085E" w:rsidP="00B71B1A">
      <w:pPr>
        <w:spacing w:before="120" w:after="240" w:line="276" w:lineRule="auto"/>
        <w:ind w:right="-285"/>
      </w:pPr>
      <w:r>
        <w:t>Las escalas fijas que tengan una altura superior a tres metros (3 m) dispondrán, al menos a partir de dicha altura, de una protección circundante. Esta medida no será necesaria en conductos, pozos angostos y otras instalaciones que, por su configuración, ya proporcionen dicha protección.</w:t>
      </w:r>
    </w:p>
    <w:p w:rsidR="00C7085E" w:rsidRDefault="00C7085E" w:rsidP="00B71B1A">
      <w:pPr>
        <w:spacing w:before="120" w:after="240" w:line="276" w:lineRule="auto"/>
        <w:ind w:right="-285"/>
      </w:pPr>
      <w:r>
        <w:t>En el caso de alturas superiores a 9 metros será obligatorio la instalación de plataformas de descanso cada 9 metros o fracción. Si por el contrario las dimensiones interiores de la arqueta permiten la instalación de escaleras de bajada, esta sería la opción predominante.</w:t>
      </w:r>
    </w:p>
    <w:p w:rsidR="00C7085E" w:rsidRDefault="00C7085E" w:rsidP="00B71B1A">
      <w:pPr>
        <w:spacing w:before="120" w:after="240" w:line="276" w:lineRule="auto"/>
        <w:ind w:right="-285"/>
      </w:pPr>
      <w:r>
        <w:t>Las escaleras deberán disponer de huella, contrahuella y pasamanos.</w:t>
      </w:r>
    </w:p>
    <w:p w:rsidR="00C7085E" w:rsidRDefault="00C7085E" w:rsidP="00B71B1A">
      <w:pPr>
        <w:spacing w:before="120" w:after="240" w:line="276" w:lineRule="auto"/>
        <w:ind w:right="-285"/>
      </w:pPr>
      <w:r>
        <w:t>Los pavimentos de las huellas estarán formados por trámex que serán de acero inoxidable AISI 304, AISI 316, acero galvanizado en caliente o PRFV.</w:t>
      </w:r>
    </w:p>
    <w:p w:rsidR="00C7085E" w:rsidRDefault="00C7085E" w:rsidP="00B71B1A">
      <w:pPr>
        <w:keepNext/>
        <w:widowControl/>
        <w:numPr>
          <w:ilvl w:val="0"/>
          <w:numId w:val="12"/>
        </w:numPr>
        <w:spacing w:before="120" w:after="240" w:line="276" w:lineRule="auto"/>
        <w:ind w:left="714" w:right="-285" w:hanging="357"/>
        <w:rPr>
          <w:b/>
        </w:rPr>
      </w:pPr>
      <w:r>
        <w:rPr>
          <w:b/>
        </w:rPr>
        <w:t>Pasarelas y plataformas</w:t>
      </w:r>
    </w:p>
    <w:p w:rsidR="00C7085E" w:rsidRDefault="00C7085E" w:rsidP="00B71B1A">
      <w:pPr>
        <w:spacing w:before="120" w:after="240" w:line="276" w:lineRule="auto"/>
        <w:ind w:right="-285"/>
      </w:pPr>
      <w:r>
        <w:t>Las pasarelas y plataformas deberán cumplir con lo establecido para las mismas en el Real Decreto 486/1997, por el que se establecen las disposiciones mínimas de seguridad y salud en los lugares de trabajo.</w:t>
      </w:r>
    </w:p>
    <w:p w:rsidR="00C7085E" w:rsidRDefault="00C7085E" w:rsidP="00B71B1A">
      <w:pPr>
        <w:spacing w:before="120" w:after="240" w:line="276" w:lineRule="auto"/>
        <w:ind w:right="-285"/>
      </w:pPr>
      <w:r>
        <w:t>Las estructuras soportes serán de acero inoxidable, acero galvanizado o acero al carbono con protección anticorrosión.</w:t>
      </w:r>
    </w:p>
    <w:p w:rsidR="00C7085E" w:rsidRDefault="00C7085E" w:rsidP="00B71B1A">
      <w:pPr>
        <w:spacing w:before="120" w:after="240" w:line="276" w:lineRule="auto"/>
        <w:ind w:right="-285"/>
      </w:pPr>
      <w:r>
        <w:t>Los pavimentos estarán formados por trámex que serán de acero inoxidable AISI 304, AISI 316, acero galvanizado en caliente o PRFV.</w:t>
      </w:r>
    </w:p>
    <w:p w:rsidR="00C7085E" w:rsidRDefault="00C7085E" w:rsidP="00B71B1A">
      <w:pPr>
        <w:widowControl/>
        <w:numPr>
          <w:ilvl w:val="0"/>
          <w:numId w:val="12"/>
        </w:numPr>
        <w:spacing w:before="120" w:after="240" w:line="276" w:lineRule="auto"/>
        <w:ind w:left="714" w:right="-285" w:hanging="357"/>
        <w:rPr>
          <w:b/>
        </w:rPr>
      </w:pPr>
      <w:r>
        <w:rPr>
          <w:b/>
        </w:rPr>
        <w:t>Barandillas y cadenas de seguridad</w:t>
      </w:r>
    </w:p>
    <w:p w:rsidR="00C7085E" w:rsidRDefault="00C7085E" w:rsidP="00B71B1A">
      <w:pPr>
        <w:spacing w:before="120" w:after="240" w:line="276" w:lineRule="auto"/>
        <w:ind w:right="-285"/>
      </w:pPr>
      <w:r>
        <w:t xml:space="preserve">Las barandillas y cadenas de seguridad serán de acero inoxidable AISI 304, AISI 316 o de acero galvanizado en caliente. En el interior de las instalaciones, previa aprobación de la </w:t>
      </w:r>
      <w:r>
        <w:lastRenderedPageBreak/>
        <w:t>Dirección de Obra, se admitirá la colocación de barandillas de PRFV.</w:t>
      </w:r>
    </w:p>
    <w:p w:rsidR="00C7085E" w:rsidRDefault="00C7085E" w:rsidP="00B71B1A">
      <w:pPr>
        <w:spacing w:before="120" w:after="240" w:line="276" w:lineRule="auto"/>
        <w:ind w:right="-285"/>
      </w:pPr>
      <w:r>
        <w:t>Las barandillas deberán ser conformes al Real Decreto 486/1997, tendrán una altura mínima de 90 centímetros y dispondrán de protección que impida el paso o deslizamiento por debajo de las mismas o la caída de objetos sobre personas.</w:t>
      </w:r>
    </w:p>
    <w:p w:rsidR="00C7085E" w:rsidRDefault="00C7085E" w:rsidP="00B71B1A">
      <w:pPr>
        <w:spacing w:before="120" w:after="240" w:line="276" w:lineRule="auto"/>
        <w:ind w:right="-285"/>
      </w:pPr>
      <w:r>
        <w:t>Por motivos de seguridad, las barandillas deberán cumplir las siguientes especificaciones: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Se utilizará el procedimiento de plegado y soldadura de tubos y chapas para conseguir su forma. La soldadura deberá ser continua, no admitiéndose el punteado de elementos.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Sus extremos serán curvados.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Las placas de anclaje deberán garantizar la resistencia máxima en el sentido de la protección.</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La sujeción se realizará mediante anclajes con tirafondos en acero inoxidable, exceptuando los casos de base metálica, en los que se utilizará tornillería.</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Para longitudes superiores a 50 metros se instalarán uniones que permitan la dilatación.</w:t>
      </w:r>
    </w:p>
    <w:p w:rsidR="00C7085E" w:rsidRDefault="00C7085E" w:rsidP="00B71B1A">
      <w:pPr>
        <w:keepNext/>
        <w:widowControl/>
        <w:numPr>
          <w:ilvl w:val="0"/>
          <w:numId w:val="12"/>
        </w:numPr>
        <w:spacing w:before="120" w:after="240" w:line="276" w:lineRule="auto"/>
        <w:ind w:left="714" w:right="-285" w:hanging="357"/>
        <w:rPr>
          <w:b/>
          <w:lang w:val="es-ES_tradnl"/>
        </w:rPr>
      </w:pPr>
      <w:r>
        <w:rPr>
          <w:b/>
        </w:rPr>
        <w:t>Trámex</w:t>
      </w:r>
    </w:p>
    <w:p w:rsidR="00C7085E" w:rsidRDefault="00C7085E" w:rsidP="00B71B1A">
      <w:pPr>
        <w:keepNext/>
        <w:spacing w:before="120" w:after="240" w:line="276" w:lineRule="auto"/>
        <w:ind w:right="-285"/>
      </w:pPr>
      <w:r>
        <w:t>Los trámex serán de acero inoxidable AISI 304, AISI 316, acero galvanizado en caliente o PRFV y estarán constituidos por pletinas de 30 x 2 o 30 x 3 mm, unidas formando mallas de 30 x 30 mm. Estas mallas conformarán a su vez, piezas unitarias de dimensiones máximas de 3 m x 1 m.</w:t>
      </w:r>
    </w:p>
    <w:p w:rsidR="00C7085E" w:rsidRDefault="00C7085E" w:rsidP="00B71B1A">
      <w:pPr>
        <w:spacing w:before="120" w:after="240" w:line="276" w:lineRule="auto"/>
        <w:ind w:right="-285"/>
      </w:pPr>
      <w:r>
        <w:t>Los cercos y piezas angulares de apoyo para encajar los trámex tendrán la misma protección frente a la corrosión que estos.</w:t>
      </w:r>
    </w:p>
    <w:p w:rsidR="00C7085E" w:rsidRDefault="00C7085E" w:rsidP="00B71B1A">
      <w:pPr>
        <w:spacing w:before="120" w:after="240" w:line="276" w:lineRule="auto"/>
        <w:ind w:right="-285"/>
      </w:pPr>
      <w:r>
        <w:t>El acabado deberá ser antideslizante, para lo cual los metálicos serán de doble pletina con doble diente de sierra.</w:t>
      </w:r>
    </w:p>
    <w:p w:rsidR="00C7085E" w:rsidRDefault="00C7085E" w:rsidP="00B71B1A">
      <w:pPr>
        <w:spacing w:before="120" w:after="240" w:line="276" w:lineRule="auto"/>
        <w:ind w:right="-285"/>
      </w:pPr>
      <w:r>
        <w:t>Los trámex irán sujetos a la estructura soporte mediante tornillos, tuercas y piezas inferiores adaptables de acero inoxidable.</w:t>
      </w:r>
    </w:p>
    <w:p w:rsidR="00C7085E" w:rsidRDefault="00C7085E" w:rsidP="00B71B1A">
      <w:pPr>
        <w:spacing w:before="120" w:after="240" w:line="276" w:lineRule="auto"/>
        <w:ind w:right="-285"/>
      </w:pPr>
      <w:r>
        <w:t xml:space="preserve">Las zonas de tránsito de peatones por debajo de la superficie cubierta </w:t>
      </w:r>
      <w:r>
        <w:rPr>
          <w:szCs w:val="22"/>
        </w:rPr>
        <w:t>con los</w:t>
      </w:r>
      <w:r>
        <w:rPr>
          <w:sz w:val="18"/>
        </w:rPr>
        <w:t xml:space="preserve"> </w:t>
      </w:r>
      <w:r>
        <w:t>trámex, llevarán incorporado en éste, una malla de protección cuya abertura máxima de los intersticios será de ocho milímetros (8 mm).</w:t>
      </w:r>
    </w:p>
    <w:p w:rsidR="00C7085E" w:rsidRDefault="00C7085E" w:rsidP="00B71B1A">
      <w:pPr>
        <w:spacing w:before="120" w:after="240" w:line="276" w:lineRule="auto"/>
        <w:ind w:right="-285"/>
      </w:pPr>
      <w:r>
        <w:t>Deberán estar diseñados para soportar operarios, herramientas y partes de la instalación que se puedan colocar sobre ellos durante el montaje y revisiones periódicas.</w:t>
      </w:r>
    </w:p>
    <w:p w:rsidR="00C7085E" w:rsidRDefault="00C7085E" w:rsidP="00B71B1A">
      <w:pPr>
        <w:widowControl/>
        <w:numPr>
          <w:ilvl w:val="0"/>
          <w:numId w:val="12"/>
        </w:numPr>
        <w:spacing w:before="120" w:after="240" w:line="276" w:lineRule="auto"/>
        <w:ind w:left="714" w:right="-285" w:hanging="357"/>
        <w:rPr>
          <w:b/>
        </w:rPr>
      </w:pPr>
      <w:r>
        <w:rPr>
          <w:b/>
        </w:rPr>
        <w:t>Estructuras de PRFV</w:t>
      </w:r>
    </w:p>
    <w:p w:rsidR="00C7085E" w:rsidRDefault="00C7085E" w:rsidP="00B71B1A">
      <w:pPr>
        <w:spacing w:before="120" w:after="240" w:line="276" w:lineRule="auto"/>
        <w:ind w:right="-285"/>
      </w:pPr>
      <w:r>
        <w:t>Las estructuras de PRFV deberán cumplir la norma UNE-EN 13706: “Materiales compuestos de plástico reforzado. Especificaciones para perfiles pultruidos”.</w:t>
      </w:r>
    </w:p>
    <w:p w:rsidR="00C7085E" w:rsidRDefault="00C7085E" w:rsidP="00B71B1A">
      <w:pPr>
        <w:spacing w:before="120" w:after="240" w:line="276" w:lineRule="auto"/>
        <w:ind w:right="-285"/>
      </w:pPr>
      <w:r>
        <w:t xml:space="preserve">Los materiales a utilizar en las estructuras de PRFV serán resina ISOFTÁLICA en el caso de </w:t>
      </w:r>
      <w:r>
        <w:lastRenderedPageBreak/>
        <w:t xml:space="preserve">que el elemento se sitúe en espacios sin agresión química y resina VINILESTER, para los casos en los que se localice en espacios confinados con agresión química. </w:t>
      </w:r>
    </w:p>
    <w:p w:rsidR="00C7085E" w:rsidRDefault="00C7085E" w:rsidP="00B71B1A">
      <w:pPr>
        <w:spacing w:before="120" w:after="240" w:line="276" w:lineRule="auto"/>
        <w:ind w:right="-285"/>
      </w:pPr>
      <w:r>
        <w:t>Este tipo de material no se usará nunca en exteriores</w:t>
      </w:r>
    </w:p>
    <w:p w:rsidR="00C7085E" w:rsidRDefault="00C7085E" w:rsidP="00B71B1A">
      <w:pPr>
        <w:spacing w:before="120" w:after="240" w:line="276" w:lineRule="auto"/>
        <w:ind w:right="-285"/>
      </w:pPr>
      <w:r>
        <w:t>Las características de los materiales serán las siguientes: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 xml:space="preserve">Resistencia UV 5 en la escala de grises conforme a norma UNE-EN ISO 4892-parte 2: </w:t>
      </w:r>
      <w:r>
        <w:rPr>
          <w:rFonts w:ascii="Arial" w:hAnsi="Arial" w:cs="Arial"/>
          <w:i/>
          <w:lang w:val="es-ES_tradnl"/>
        </w:rPr>
        <w:t>“Plásticos. Métodos de exposición a fuentes luminosas de laboratorio. Parte 2: Lámparas de arco de xenón”</w:t>
      </w:r>
      <w:r>
        <w:rPr>
          <w:rFonts w:ascii="Arial" w:hAnsi="Arial" w:cs="Arial"/>
          <w:lang w:val="es-ES_tradnl"/>
        </w:rPr>
        <w:t>.</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Resistencia al fuego M-1 (ASTM-E84)</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Resistencia al humo F-1 (ASTM-E84)</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Pigmentación mediante resina tintada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Medición y abono</w:t>
      </w:r>
    </w:p>
    <w:p w:rsidR="00C7085E" w:rsidRDefault="00C7085E" w:rsidP="00B71B1A">
      <w:pPr>
        <w:shd w:val="clear" w:color="auto" w:fill="FFFFFF" w:themeFill="background1"/>
        <w:spacing w:before="120" w:after="240" w:line="276" w:lineRule="auto"/>
        <w:ind w:right="-285"/>
      </w:pPr>
      <w:r>
        <w:t>Los pates se medirán por unidades (ud) realmente colocadas y se abonarán al precio que corresponda de los que figuren en el Cuadro de Precios vigente de Canal de Isabel II Gestión.</w:t>
      </w:r>
    </w:p>
    <w:p w:rsidR="00C7085E" w:rsidRDefault="00C7085E" w:rsidP="00B71B1A">
      <w:pPr>
        <w:shd w:val="clear" w:color="auto" w:fill="FFFFFF" w:themeFill="background1"/>
        <w:spacing w:before="120" w:after="240" w:line="276" w:lineRule="auto"/>
        <w:ind w:right="-285"/>
      </w:pPr>
      <w:r>
        <w:t>Las plataformas, pasarelas y emparrillados de trámex se medirán por metros cuadrados (m</w:t>
      </w:r>
      <w:r>
        <w:rPr>
          <w:vertAlign w:val="superscript"/>
        </w:rPr>
        <w:t>2</w:t>
      </w:r>
      <w:r>
        <w:t>) de superficie realmente ejecutada y se abonarán al precio que corresponda, en función del tipo elemento, de los que figuren en el Cuadro de Precios de Canal de Isabel II Gestión.</w:t>
      </w:r>
    </w:p>
    <w:p w:rsidR="00C7085E" w:rsidRDefault="00C7085E" w:rsidP="00B71B1A">
      <w:pPr>
        <w:shd w:val="clear" w:color="auto" w:fill="FFFFFF" w:themeFill="background1"/>
        <w:spacing w:before="120" w:after="240" w:line="276" w:lineRule="auto"/>
        <w:ind w:right="-285"/>
      </w:pPr>
      <w:r>
        <w:t>En los precios se consideran incluidos el suministro y montaje, así como la parte proporcional de recercados, cortes, despuntes, soldaduras y todos los materiales, medios auxiliares y mano de obra necesarios para la correcta ejecución de la unidad considerada.</w:t>
      </w:r>
    </w:p>
    <w:p w:rsidR="00C7085E" w:rsidRDefault="00C7085E" w:rsidP="00B71B1A">
      <w:pPr>
        <w:shd w:val="clear" w:color="auto" w:fill="FFFFFF" w:themeFill="background1"/>
        <w:spacing w:before="120" w:after="240" w:line="276" w:lineRule="auto"/>
        <w:ind w:right="-285"/>
      </w:pPr>
      <w:r>
        <w:t>Los peldaños de escalera, las barandillas y las cadenas de seguridad se medirán y abonarán por metros realmente colocados, al precio que corresponda de los que figuren en el Cuadro de Precios de Canal de Isabel II Gestión.</w:t>
      </w:r>
    </w:p>
    <w:p w:rsidR="00C7085E" w:rsidRDefault="00C7085E" w:rsidP="00B71B1A">
      <w:pPr>
        <w:shd w:val="clear" w:color="auto" w:fill="FFFFFF" w:themeFill="background1"/>
        <w:spacing w:before="120" w:after="240" w:line="276" w:lineRule="auto"/>
        <w:ind w:right="-285"/>
      </w:pPr>
      <w:r>
        <w:t>En estos precios se consideran incluidos el suministro y montaje, así como todos los materiales, medios auxiliares y mano de obra necesarios para la correcta ejecución de la unidad considerada.</w:t>
      </w:r>
    </w:p>
    <w:p w:rsidR="00C7085E" w:rsidRDefault="00C7085E" w:rsidP="00B71B1A">
      <w:pPr>
        <w:shd w:val="clear" w:color="auto" w:fill="FFFFFF" w:themeFill="background1"/>
        <w:spacing w:before="120" w:after="240" w:line="276" w:lineRule="auto"/>
        <w:ind w:right="-285"/>
      </w:pPr>
      <w:r>
        <w:t>Las vigas, tubulares, escaleras y protecciones para escalera de PRFV se medirán por metros (m) colocados en obra y se abonarán al precio que corresponda, de los que figuren en el Cuadro de Precios de Canal de Isabel II Gestión.</w:t>
      </w:r>
    </w:p>
    <w:p w:rsidR="00C7085E" w:rsidRDefault="00C7085E" w:rsidP="00B71B1A">
      <w:pPr>
        <w:shd w:val="clear" w:color="auto" w:fill="FFFFFF" w:themeFill="background1"/>
        <w:spacing w:before="120" w:after="240" w:line="276" w:lineRule="auto"/>
        <w:ind w:right="-285"/>
      </w:pPr>
      <w:r>
        <w:t>Las plataformas y rejillas de PRFV se medirán por metros cuadrados (m</w:t>
      </w:r>
      <w:r>
        <w:rPr>
          <w:vertAlign w:val="superscript"/>
        </w:rPr>
        <w:t>2</w:t>
      </w:r>
      <w:r>
        <w:t>) de superficie realmente colocada y se abonarán al precio que corresponda de los que figuren en el Cuadro de Precios de Canal de Isabel II Gestión.</w:t>
      </w:r>
    </w:p>
    <w:p w:rsidR="00C7085E" w:rsidRDefault="00C7085E" w:rsidP="00B71B1A">
      <w:pPr>
        <w:spacing w:before="120" w:after="240" w:line="276" w:lineRule="auto"/>
        <w:ind w:right="-285"/>
      </w:pPr>
      <w:r>
        <w:t>En estos precios se consideran incluidos el suministro y montaje, así como todos los materiales, medios auxiliares y mano de obra necesarios para la correcta ejecución de la unidad considerada.</w:t>
      </w:r>
    </w:p>
    <w:p w:rsidR="00C7085E" w:rsidRPr="00894B2B" w:rsidRDefault="00E77B39" w:rsidP="00B71B1A">
      <w:pPr>
        <w:pStyle w:val="Ttulo2"/>
        <w:numPr>
          <w:ilvl w:val="1"/>
          <w:numId w:val="5"/>
        </w:numPr>
        <w:snapToGrid/>
        <w:spacing w:before="400" w:after="400" w:line="276" w:lineRule="auto"/>
        <w:ind w:left="0" w:right="-285"/>
        <w:rPr>
          <w:caps w:val="0"/>
        </w:rPr>
      </w:pPr>
      <w:bookmarkStart w:id="592" w:name="_Toc414021864"/>
      <w:bookmarkStart w:id="593" w:name="_Toc448741454"/>
      <w:r w:rsidRPr="00E77B39">
        <w:rPr>
          <w:caps w:val="0"/>
        </w:rPr>
        <w:lastRenderedPageBreak/>
        <w:t>FIRMES Y URBANIZACIÓN</w:t>
      </w:r>
      <w:bookmarkEnd w:id="592"/>
      <w:bookmarkEnd w:id="593"/>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94" w:name="_Toc414021865"/>
      <w:bookmarkStart w:id="595" w:name="_Toc448741455"/>
      <w:r>
        <w:t>Firmes granulares</w:t>
      </w:r>
      <w:bookmarkEnd w:id="594"/>
      <w:bookmarkEnd w:id="595"/>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Los materiales a emplear como sub-bases granulares serán zahorras naturales procedentes de graveras o depósitos naturales, suelos naturales o una mezcla de ambos y deberán cumplir las especificaciones establecidas en el artículo 510.2 del PG-3.</w:t>
      </w:r>
    </w:p>
    <w:p w:rsidR="00C7085E" w:rsidRDefault="00C7085E" w:rsidP="00B71B1A">
      <w:pPr>
        <w:spacing w:before="120" w:after="240" w:line="276" w:lineRule="auto"/>
        <w:ind w:right="-285"/>
        <w:rPr>
          <w:szCs w:val="22"/>
        </w:rPr>
      </w:pPr>
      <w:r>
        <w:rPr>
          <w:szCs w:val="22"/>
        </w:rPr>
        <w:t>La granulometría del material, según la UNE-EN 933-1 estará comprendida en los husos reseñados como ZN (40) o ZN (20) y será “no plástico”, conforme a la norma UNE 103104.</w:t>
      </w:r>
    </w:p>
    <w:p w:rsidR="00C7085E" w:rsidRDefault="00C7085E" w:rsidP="00B71B1A">
      <w:pPr>
        <w:spacing w:before="120" w:after="240" w:line="276" w:lineRule="auto"/>
        <w:ind w:right="-285"/>
        <w:rPr>
          <w:szCs w:val="22"/>
        </w:rPr>
      </w:pPr>
      <w:r>
        <w:rPr>
          <w:szCs w:val="22"/>
        </w:rPr>
        <w:t>El valor del coeficiente de Los Ángeles de los materiales empleados como zahorra natural será inferior a treinta y cinco (35).</w:t>
      </w:r>
    </w:p>
    <w:p w:rsidR="00C7085E" w:rsidRDefault="00C7085E" w:rsidP="00B71B1A">
      <w:pPr>
        <w:spacing w:before="120" w:after="240" w:line="276" w:lineRule="auto"/>
        <w:ind w:right="-285"/>
        <w:rPr>
          <w:szCs w:val="22"/>
        </w:rPr>
      </w:pPr>
      <w:r>
        <w:rPr>
          <w:szCs w:val="22"/>
        </w:rPr>
        <w:t>Los materiales estarán exentos de terrones de arcilla, marga, materia orgánica, o cualquier otra sustancia que pueda afectar a la durabilidad de la capa.</w:t>
      </w:r>
    </w:p>
    <w:p w:rsidR="00C7085E" w:rsidRDefault="00C7085E" w:rsidP="00B71B1A">
      <w:pPr>
        <w:spacing w:before="120" w:after="240" w:line="276" w:lineRule="auto"/>
        <w:ind w:right="-285"/>
      </w:pPr>
      <w:r>
        <w:t>Los materiales a emplear como bases serán zahorras artificiales o grava-cemento.</w:t>
      </w:r>
    </w:p>
    <w:p w:rsidR="00C7085E" w:rsidRDefault="00C7085E" w:rsidP="00B71B1A">
      <w:pPr>
        <w:spacing w:before="120" w:after="240" w:line="276" w:lineRule="auto"/>
        <w:ind w:right="-285"/>
      </w:pPr>
      <w:r>
        <w:t>Los materiales para la zahorra artificial serán procedentes de la trituración, total o parcial, de piedra de cantera o de grava natural y deberán cumplir las especificaciones establecidas en el artículo 510.2 del PG-3.</w:t>
      </w:r>
    </w:p>
    <w:p w:rsidR="00C7085E" w:rsidRDefault="00C7085E" w:rsidP="00B71B1A">
      <w:pPr>
        <w:spacing w:before="120" w:after="240" w:line="276" w:lineRule="auto"/>
        <w:ind w:right="-285"/>
        <w:rPr>
          <w:szCs w:val="22"/>
        </w:rPr>
      </w:pPr>
      <w:r>
        <w:rPr>
          <w:szCs w:val="22"/>
        </w:rPr>
        <w:t>La granulometría del material, según la UNE-EN 933-1 estará comprendida en los husos reseñados como ZA (20) o ZA (25) y será “no plástico”, conforme a la norma UNE 103104.</w:t>
      </w:r>
    </w:p>
    <w:p w:rsidR="00C7085E" w:rsidRDefault="00C7085E" w:rsidP="00B71B1A">
      <w:pPr>
        <w:spacing w:before="120" w:after="240" w:line="276" w:lineRule="auto"/>
        <w:ind w:right="-285"/>
        <w:rPr>
          <w:szCs w:val="22"/>
        </w:rPr>
      </w:pPr>
      <w:r>
        <w:rPr>
          <w:szCs w:val="22"/>
        </w:rPr>
        <w:t>El porcentaje mínimo de partículas trituradas, según la UNE-EN 933-5 será del setenta y cinco (75%) y el índice de lajas deberá ser inferior a treinta y cinco (35).</w:t>
      </w:r>
    </w:p>
    <w:p w:rsidR="00C7085E" w:rsidRDefault="00C7085E" w:rsidP="00B71B1A">
      <w:pPr>
        <w:spacing w:before="120" w:after="240" w:line="276" w:lineRule="auto"/>
        <w:ind w:right="-285"/>
        <w:rPr>
          <w:szCs w:val="22"/>
        </w:rPr>
      </w:pPr>
      <w:r>
        <w:rPr>
          <w:szCs w:val="22"/>
        </w:rPr>
        <w:t>El valor del coeficiente de Los Ángeles de los materiales empleados como zahorra artificial será inferior a treinta (30) y el coeficiente de limpieza, según  la UNE-EN 13043 deberá ser inferior a dos (2).</w:t>
      </w:r>
    </w:p>
    <w:p w:rsidR="00C7085E" w:rsidRDefault="00C7085E" w:rsidP="00B71B1A">
      <w:pPr>
        <w:spacing w:before="120" w:after="240" w:line="276" w:lineRule="auto"/>
        <w:ind w:right="-285"/>
      </w:pPr>
      <w:r>
        <w:t>Los materiales a emplear en la fabricación de suelo cemento y de grava-cemento deberán cumplir las especificaciones establecidas en el artículo 513.2 del PG-3.</w:t>
      </w:r>
    </w:p>
    <w:p w:rsidR="00C7085E" w:rsidRDefault="00C7085E" w:rsidP="00B71B1A">
      <w:pPr>
        <w:spacing w:before="120" w:after="240" w:line="276" w:lineRule="auto"/>
        <w:ind w:right="-285"/>
        <w:rPr>
          <w:szCs w:val="22"/>
        </w:rPr>
      </w:pPr>
      <w:r>
        <w:rPr>
          <w:szCs w:val="22"/>
        </w:rPr>
        <w:t>Los áridos empleados en la fabricación de grava-cemento tendrán un valor del coeficiente de Los Ángeles inferior a treinta (30).</w:t>
      </w:r>
    </w:p>
    <w:p w:rsidR="00C7085E" w:rsidRDefault="00C7085E" w:rsidP="00B71B1A">
      <w:pPr>
        <w:spacing w:before="120" w:after="240" w:line="276" w:lineRule="auto"/>
        <w:ind w:right="-285"/>
        <w:rPr>
          <w:szCs w:val="22"/>
        </w:rPr>
      </w:pPr>
      <w:r>
        <w:rPr>
          <w:szCs w:val="22"/>
        </w:rPr>
        <w:t>Los materiales empleados para la estabilización de suelos con cemento deberán cumplirá las especificaciones establecidas en el artículo 512.2 del PG-3.</w:t>
      </w:r>
    </w:p>
    <w:p w:rsidR="00C7085E" w:rsidRDefault="00C7085E" w:rsidP="00B71B1A">
      <w:pPr>
        <w:spacing w:before="120" w:after="240" w:line="276" w:lineRule="auto"/>
        <w:ind w:right="-285"/>
        <w:rPr>
          <w:szCs w:val="22"/>
        </w:rPr>
      </w:pPr>
      <w:r>
        <w:rPr>
          <w:szCs w:val="22"/>
        </w:rPr>
        <w:t>Los suelos a estabilizar no contendrán en ningún caso materia orgánica, sulfuros, fosfatos, nitratos, cloruros u otros compuestos químicos que puedan reaccionar con el cemento.</w:t>
      </w:r>
    </w:p>
    <w:p w:rsidR="00C7085E" w:rsidRDefault="00C7085E" w:rsidP="00B71B1A">
      <w:pPr>
        <w:spacing w:before="120" w:after="240" w:line="276" w:lineRule="auto"/>
        <w:ind w:right="-285"/>
        <w:rPr>
          <w:szCs w:val="22"/>
        </w:rPr>
      </w:pPr>
      <w:r>
        <w:rPr>
          <w:szCs w:val="22"/>
        </w:rPr>
        <w:t>De acuerdo a sus características finales, el tipo de suelo estabilizado obtenido será el S-EST1.</w:t>
      </w:r>
    </w:p>
    <w:p w:rsidR="00C7085E" w:rsidRDefault="00C7085E" w:rsidP="00B71B1A">
      <w:pPr>
        <w:spacing w:before="120" w:after="240" w:line="276" w:lineRule="auto"/>
        <w:ind w:right="-285"/>
        <w:rPr>
          <w:szCs w:val="22"/>
        </w:rPr>
      </w:pPr>
      <w:r>
        <w:rPr>
          <w:szCs w:val="22"/>
        </w:rPr>
        <w:lastRenderedPageBreak/>
        <w:t>En todos los casos en los que se utilice cemento, bien para la tratar o estabilizar el suelo,</w:t>
      </w:r>
      <w:r>
        <w:t xml:space="preserve"> la clase resistente del cemento empleado será la 32,5R, no pudiéndose utilizar cementos de aluminato de calcio, ni mezclas de cemento con adiciones que no se hayan realizado en fábrica.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szCs w:val="20"/>
        </w:rPr>
      </w:pPr>
      <w:r>
        <w:t>Ejecución</w:t>
      </w:r>
    </w:p>
    <w:p w:rsidR="00C7085E" w:rsidRDefault="00C7085E" w:rsidP="00B71B1A">
      <w:pPr>
        <w:spacing w:before="120" w:after="240" w:line="276" w:lineRule="auto"/>
        <w:ind w:right="-285"/>
      </w:pPr>
      <w:r>
        <w:t>La ejecución de las sub-bases y bases realizadas con material granular deberá cumplir las condiciones establecidas en los artículos 510.4 y 510.5 del PG-3.</w:t>
      </w:r>
    </w:p>
    <w:p w:rsidR="00C7085E" w:rsidRDefault="00C7085E" w:rsidP="00B71B1A">
      <w:pPr>
        <w:spacing w:before="120" w:after="240" w:line="276" w:lineRule="auto"/>
        <w:ind w:right="-285"/>
      </w:pPr>
      <w:r>
        <w:t>La extensión del material se realizará en tongadas de espesor no superior a 30 centímetros (30 cm), tomando las precauciones necesarias para evitar segregaciones y contaminaciones.</w:t>
      </w:r>
    </w:p>
    <w:p w:rsidR="00C7085E" w:rsidRDefault="00C7085E" w:rsidP="00B71B1A">
      <w:pPr>
        <w:spacing w:before="120" w:after="240" w:line="276" w:lineRule="auto"/>
        <w:ind w:right="-285"/>
      </w:pPr>
      <w:r>
        <w:t>Las zahorras artificiales deberán compactarse al cien por cien (100%) de la densidad máxima obtenida en el ensayo Proctor modificado, según UNE 103501.</w:t>
      </w:r>
    </w:p>
    <w:p w:rsidR="00C7085E" w:rsidRDefault="00C7085E" w:rsidP="00B71B1A">
      <w:pPr>
        <w:spacing w:before="120" w:after="240" w:line="276" w:lineRule="auto"/>
        <w:ind w:right="-285"/>
      </w:pPr>
      <w:r>
        <w:t>Para la ejecución de materiales tratados con cemento, ya sea suelo-cemento o grava-cemento, se deberán seguir las prescripciones establecidas en el PG-3, en sus artículos 513.4 y 513.5.</w:t>
      </w:r>
    </w:p>
    <w:p w:rsidR="00C7085E" w:rsidRDefault="00C7085E" w:rsidP="00B71B1A">
      <w:pPr>
        <w:spacing w:before="120" w:after="240" w:line="276" w:lineRule="auto"/>
        <w:ind w:right="-285"/>
      </w:pPr>
      <w:r>
        <w:t>La ejecución de suelos estabilizados con cemento deberá cumplir las condiciones establecidas en los artículos 512.4 y 512.5 del PG-3.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keepNext/>
        <w:spacing w:before="120" w:after="240" w:line="276" w:lineRule="auto"/>
        <w:ind w:right="-285"/>
        <w:rPr>
          <w:u w:val="single"/>
        </w:rPr>
      </w:pPr>
      <w:r>
        <w:rPr>
          <w:u w:val="single"/>
        </w:rPr>
        <w:t>Control de calidad de los materiales</w:t>
      </w:r>
    </w:p>
    <w:p w:rsidR="00C7085E" w:rsidRDefault="00C7085E" w:rsidP="00B71B1A">
      <w:pPr>
        <w:spacing w:before="120" w:after="240" w:line="276" w:lineRule="auto"/>
        <w:ind w:right="-285"/>
      </w:pPr>
      <w:r>
        <w:t>Las características de los materiales se comprobarán antes de su utilización mediante la ejecución de los ensayos cuya frecuencia y tipo se señalan a continuación:</w:t>
      </w:r>
    </w:p>
    <w:p w:rsidR="00C7085E" w:rsidRDefault="00C7085E" w:rsidP="00B71B1A">
      <w:pPr>
        <w:widowControl/>
        <w:numPr>
          <w:ilvl w:val="0"/>
          <w:numId w:val="12"/>
        </w:numPr>
        <w:suppressAutoHyphens/>
        <w:spacing w:before="120" w:after="240" w:line="276" w:lineRule="auto"/>
        <w:ind w:left="714" w:right="-285" w:hanging="357"/>
      </w:pPr>
      <w:r>
        <w:t>Sub-bases granulares y zahorras artificiales:</w:t>
      </w:r>
    </w:p>
    <w:p w:rsidR="00C7085E" w:rsidRDefault="00C7085E" w:rsidP="00B71B1A">
      <w:pPr>
        <w:spacing w:before="120" w:after="240" w:line="276" w:lineRule="auto"/>
        <w:ind w:right="-285" w:firstLine="709"/>
      </w:pPr>
      <w:r>
        <w:t>Por cada 10.000 m</w:t>
      </w:r>
      <w:r>
        <w:rPr>
          <w:vertAlign w:val="superscript"/>
        </w:rPr>
        <w:t>3</w:t>
      </w:r>
      <w:r>
        <w:t xml:space="preserve"> de material:</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5  granulometría por tamizado según UNE 103101</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5  equivalente de arena según UNE103109</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5  límites de Atterberg según UNE103103 y UNE103104</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Proctor modificado según UNE 103501</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índice CBR en laboratorio según UNE 103502</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resistencia al desgaste según UNE-EN 1097-2</w:t>
      </w:r>
    </w:p>
    <w:p w:rsidR="00C7085E" w:rsidRDefault="00C7085E" w:rsidP="00B71B1A">
      <w:pPr>
        <w:widowControl/>
        <w:numPr>
          <w:ilvl w:val="0"/>
          <w:numId w:val="12"/>
        </w:numPr>
        <w:suppressAutoHyphens/>
        <w:spacing w:before="120" w:after="240" w:line="276" w:lineRule="auto"/>
        <w:ind w:left="714" w:right="-285" w:hanging="357"/>
        <w:rPr>
          <w:lang w:val="es-ES_tradnl"/>
        </w:rPr>
      </w:pPr>
      <w:r>
        <w:t>Suelo cemento y grava-cemento</w:t>
      </w:r>
    </w:p>
    <w:p w:rsidR="00C7085E" w:rsidRDefault="00C7085E" w:rsidP="00B71B1A">
      <w:pPr>
        <w:spacing w:before="120" w:after="240" w:line="276" w:lineRule="auto"/>
        <w:ind w:right="-285" w:firstLine="709"/>
      </w:pPr>
      <w:r>
        <w:t>Por cada 10.000 m</w:t>
      </w:r>
      <w:r>
        <w:rPr>
          <w:vertAlign w:val="superscript"/>
        </w:rPr>
        <w:t>3</w:t>
      </w:r>
      <w:r>
        <w:t xml:space="preserve"> de áridos:</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3  granulometría por tamizado según UNE 103101</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equivalente de arena según UNE 103109</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límites de Atterberg según UNE103103 y UNE103104</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lastRenderedPageBreak/>
        <w:t>2  Proctor modificado según UNE 103501</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resistencia al desgaste según UNE-EN 1097-2</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contenido de materia orgánica según UNE 7368</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contenido de sulfatos solubles según UNE 103201 y UNE 103202</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proporción de terrones de arcilla según UNE 7133</w:t>
      </w:r>
    </w:p>
    <w:p w:rsidR="00C7085E" w:rsidRDefault="00C7085E" w:rsidP="00B71B1A">
      <w:pPr>
        <w:spacing w:before="120" w:after="240" w:line="276" w:lineRule="auto"/>
        <w:ind w:right="-285"/>
        <w:rPr>
          <w:lang w:val="es-ES_tradnl"/>
        </w:rPr>
      </w:pPr>
      <w:r>
        <w:t xml:space="preserve">Además al cemento se le harán los ensayos especificados en el </w:t>
      </w:r>
      <w:r w:rsidR="00DF30E5">
        <w:fldChar w:fldCharType="begin"/>
      </w:r>
      <w:r w:rsidR="00DF30E5">
        <w:instrText xml:space="preserve"> REF _Ref394049879 \r \h  \* MERGEFORMAT </w:instrText>
      </w:r>
      <w:r w:rsidR="00DF30E5">
        <w:fldChar w:fldCharType="separate"/>
      </w:r>
      <w:r w:rsidR="006B1686">
        <w:t>Artículo 4.2.3</w:t>
      </w:r>
      <w:r w:rsidR="00DF30E5">
        <w:fldChar w:fldCharType="end"/>
      </w:r>
      <w:r>
        <w:t xml:space="preserve">. </w:t>
      </w:r>
      <w:proofErr w:type="gramStart"/>
      <w:r>
        <w:t>de</w:t>
      </w:r>
      <w:proofErr w:type="gramEnd"/>
      <w:r>
        <w:t xml:space="preserve"> este Pliego, al menos una vez durante la ejecución:</w:t>
      </w:r>
    </w:p>
    <w:p w:rsidR="00C7085E" w:rsidRDefault="00C7085E" w:rsidP="00B71B1A">
      <w:pPr>
        <w:widowControl/>
        <w:numPr>
          <w:ilvl w:val="0"/>
          <w:numId w:val="12"/>
        </w:numPr>
        <w:suppressAutoHyphens/>
        <w:spacing w:before="120" w:after="240" w:line="276" w:lineRule="auto"/>
        <w:ind w:left="714" w:right="-285" w:hanging="357"/>
      </w:pPr>
      <w:r>
        <w:t>Suelos estabilizados con cemento</w:t>
      </w:r>
    </w:p>
    <w:p w:rsidR="00C7085E" w:rsidRDefault="00C7085E" w:rsidP="00B71B1A">
      <w:pPr>
        <w:spacing w:before="120" w:after="240" w:line="276" w:lineRule="auto"/>
        <w:ind w:right="-285" w:firstLine="709"/>
      </w:pPr>
      <w:r>
        <w:t>Por cada 10.000 m</w:t>
      </w:r>
      <w:r>
        <w:rPr>
          <w:vertAlign w:val="superscript"/>
        </w:rPr>
        <w:t>3</w:t>
      </w:r>
      <w:r>
        <w:t xml:space="preserve"> de suelo a estabilizar:</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3  granulometría por tamizado según UNE 103101</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límite líquido según UNE 103103</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límite plástico según UNE 103104</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contenido de sulfatos solubles según UNE 103201 y UNE 103202</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densidad máxima y humedad óptima de la mezcla según UNE 103106</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Proctor modificado según UNE 103501</w:t>
      </w:r>
    </w:p>
    <w:p w:rsidR="00C7085E" w:rsidRDefault="00C7085E" w:rsidP="00B71B1A">
      <w:pPr>
        <w:spacing w:before="120" w:after="240" w:line="276" w:lineRule="auto"/>
        <w:ind w:right="-285"/>
        <w:rPr>
          <w:lang w:val="es-ES_tradnl"/>
        </w:rPr>
      </w:pPr>
      <w:r>
        <w:t xml:space="preserve">Además al cemento se le harán los ensayos especificados en el </w:t>
      </w:r>
      <w:r w:rsidR="00DF30E5">
        <w:fldChar w:fldCharType="begin"/>
      </w:r>
      <w:r w:rsidR="00DF30E5">
        <w:instrText xml:space="preserve"> REF _Ref394049924 \r \h  \* MERGEFORMAT </w:instrText>
      </w:r>
      <w:r w:rsidR="00DF30E5">
        <w:fldChar w:fldCharType="separate"/>
      </w:r>
      <w:r w:rsidR="006B1686">
        <w:t>Artículo 4.2.3</w:t>
      </w:r>
      <w:r w:rsidR="00DF30E5">
        <w:fldChar w:fldCharType="end"/>
      </w:r>
      <w:r>
        <w:t>, al menos una vez durante la ejecución:</w:t>
      </w:r>
    </w:p>
    <w:p w:rsidR="00C7085E" w:rsidRDefault="00C7085E" w:rsidP="00B71B1A">
      <w:pPr>
        <w:spacing w:before="120" w:after="240" w:line="276" w:lineRule="auto"/>
        <w:ind w:right="-285"/>
        <w:rPr>
          <w:u w:val="single"/>
        </w:rPr>
      </w:pPr>
      <w:r>
        <w:rPr>
          <w:u w:val="single"/>
        </w:rPr>
        <w:t>Control de la ejecución:</w:t>
      </w:r>
    </w:p>
    <w:p w:rsidR="00C7085E" w:rsidRDefault="00C7085E" w:rsidP="00B71B1A">
      <w:pPr>
        <w:widowControl/>
        <w:numPr>
          <w:ilvl w:val="0"/>
          <w:numId w:val="12"/>
        </w:numPr>
        <w:spacing w:before="120" w:after="240" w:line="276" w:lineRule="auto"/>
        <w:ind w:left="714" w:right="-285" w:hanging="357"/>
      </w:pPr>
      <w:r>
        <w:t>Sub-bases granulares y zahorras artificiales:</w:t>
      </w:r>
    </w:p>
    <w:p w:rsidR="00C7085E" w:rsidRDefault="00C7085E" w:rsidP="00B71B1A">
      <w:pPr>
        <w:spacing w:before="120" w:after="240" w:line="276" w:lineRule="auto"/>
        <w:ind w:right="-285" w:firstLine="709"/>
      </w:pPr>
      <w:r>
        <w:t>Por cada 1.000 m</w:t>
      </w:r>
      <w:r>
        <w:rPr>
          <w:vertAlign w:val="superscript"/>
        </w:rPr>
        <w:t>2</w:t>
      </w:r>
      <w:r>
        <w:t xml:space="preserve"> o fracción de capa colocada:</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3  densidad “in situ” según UNE 1035503, con determinación de humedad</w:t>
      </w:r>
    </w:p>
    <w:p w:rsidR="00C7085E" w:rsidRDefault="00C7085E" w:rsidP="00B71B1A">
      <w:pPr>
        <w:widowControl/>
        <w:numPr>
          <w:ilvl w:val="0"/>
          <w:numId w:val="12"/>
        </w:numPr>
        <w:spacing w:before="120" w:after="240" w:line="276" w:lineRule="auto"/>
        <w:ind w:left="714" w:right="-285" w:hanging="357"/>
        <w:rPr>
          <w:rFonts w:cs="Arial"/>
          <w:lang w:val="es-ES_tradnl"/>
        </w:rPr>
      </w:pPr>
      <w:r>
        <w:rPr>
          <w:rFonts w:cs="Arial"/>
        </w:rPr>
        <w:t>Suelo cemento y grava-cemento</w:t>
      </w:r>
    </w:p>
    <w:p w:rsidR="00C7085E" w:rsidRDefault="00C7085E" w:rsidP="00B71B1A">
      <w:pPr>
        <w:spacing w:before="120" w:after="240" w:line="276" w:lineRule="auto"/>
        <w:ind w:right="-285" w:firstLine="709"/>
        <w:rPr>
          <w:rFonts w:cs="Arial"/>
        </w:rPr>
      </w:pPr>
      <w:r>
        <w:rPr>
          <w:rFonts w:cs="Arial"/>
        </w:rPr>
        <w:t>Por cada 1.000 m</w:t>
      </w:r>
      <w:r>
        <w:rPr>
          <w:rFonts w:cs="Arial"/>
          <w:vertAlign w:val="superscript"/>
        </w:rPr>
        <w:t>2</w:t>
      </w:r>
      <w:r>
        <w:rPr>
          <w:rFonts w:cs="Arial"/>
        </w:rPr>
        <w:t xml:space="preserve"> de suelo-cemento o grava-cemento</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6  resistencia a compresión de probetas fabricadas según UNE 103400</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4  densidad “in situ” según UNE 1035503, con determinación de humedad</w:t>
      </w:r>
    </w:p>
    <w:p w:rsidR="00C7085E" w:rsidRDefault="00C7085E" w:rsidP="00B71B1A">
      <w:pPr>
        <w:widowControl/>
        <w:numPr>
          <w:ilvl w:val="0"/>
          <w:numId w:val="12"/>
        </w:numPr>
        <w:spacing w:before="120" w:after="240" w:line="276" w:lineRule="auto"/>
        <w:ind w:left="714" w:right="-285" w:hanging="357"/>
        <w:rPr>
          <w:rFonts w:cs="Arial"/>
          <w:lang w:val="es-ES_tradnl"/>
        </w:rPr>
      </w:pPr>
      <w:r>
        <w:rPr>
          <w:rFonts w:cs="Arial"/>
        </w:rPr>
        <w:t>Suelos estabilizados con cemento</w:t>
      </w:r>
    </w:p>
    <w:p w:rsidR="00C7085E" w:rsidRDefault="00C7085E" w:rsidP="00B71B1A">
      <w:pPr>
        <w:spacing w:before="120" w:after="240" w:line="276" w:lineRule="auto"/>
        <w:ind w:right="-285" w:firstLine="709"/>
        <w:rPr>
          <w:rFonts w:cs="Arial"/>
        </w:rPr>
      </w:pPr>
      <w:r>
        <w:rPr>
          <w:rFonts w:cs="Arial"/>
        </w:rPr>
        <w:t>Por cada 1.000 m</w:t>
      </w:r>
      <w:r>
        <w:rPr>
          <w:rFonts w:cs="Arial"/>
          <w:vertAlign w:val="superscript"/>
        </w:rPr>
        <w:t>2</w:t>
      </w:r>
      <w:r>
        <w:rPr>
          <w:rFonts w:cs="Arial"/>
        </w:rPr>
        <w:t xml:space="preserve"> de suelo estabilizado:</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6  resistencia a compresión simple a 7 días según UNE-EN 13286-41</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4  densidad “in situ” según UNE 1035503, con determinación de humedad</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CBR a los 7 días, en laboratorio, según UNE-EN13286-2</w:t>
      </w:r>
    </w:p>
    <w:p w:rsidR="00C7085E" w:rsidRDefault="00C7085E" w:rsidP="00B71B1A">
      <w:pPr>
        <w:spacing w:before="120" w:after="240" w:line="276" w:lineRule="auto"/>
        <w:ind w:right="-285"/>
        <w:rPr>
          <w:u w:val="single"/>
          <w:lang w:val="es-ES_tradnl"/>
        </w:rPr>
      </w:pPr>
      <w:r>
        <w:rPr>
          <w:u w:val="single"/>
        </w:rPr>
        <w:t>Tolerancias</w:t>
      </w:r>
    </w:p>
    <w:p w:rsidR="00C7085E" w:rsidRDefault="00C7085E" w:rsidP="00B71B1A">
      <w:pPr>
        <w:widowControl/>
        <w:numPr>
          <w:ilvl w:val="0"/>
          <w:numId w:val="12"/>
        </w:numPr>
        <w:spacing w:before="120" w:after="240" w:line="276" w:lineRule="auto"/>
        <w:ind w:left="714" w:right="-285" w:hanging="357"/>
      </w:pPr>
      <w:r>
        <w:t>Sub-bases granulares y zahorras artificiales:</w:t>
      </w:r>
    </w:p>
    <w:p w:rsidR="00C7085E" w:rsidRDefault="00C7085E" w:rsidP="00B71B1A">
      <w:pPr>
        <w:spacing w:before="120" w:after="240" w:line="276" w:lineRule="auto"/>
        <w:ind w:right="-285"/>
      </w:pPr>
      <w:r>
        <w:lastRenderedPageBreak/>
        <w:t>La rasante de la superficie terminada no deberá superar a la teórica en ningún punto ni quedar por debajo de ella en más de quince milímetros (15 mm) en calzadas de carreteras con categoría de tráfico pesado T00 a T2, ni en más de veinte milímetros (20 mm) en el resto de los casos.</w:t>
      </w:r>
    </w:p>
    <w:p w:rsidR="00C7085E" w:rsidRDefault="00C7085E" w:rsidP="00B71B1A">
      <w:pPr>
        <w:spacing w:before="120" w:after="240" w:line="276" w:lineRule="auto"/>
        <w:ind w:right="-285"/>
      </w:pPr>
      <w:r>
        <w:t>La anchura y espesor de la capa extendida en ningún caso deberán ser inferiores a las establecidas en los planos de secciones tipo de Proyecto.</w:t>
      </w:r>
    </w:p>
    <w:p w:rsidR="00C7085E" w:rsidRDefault="00C7085E" w:rsidP="00B71B1A">
      <w:pPr>
        <w:widowControl/>
        <w:numPr>
          <w:ilvl w:val="0"/>
          <w:numId w:val="12"/>
        </w:numPr>
        <w:spacing w:before="120" w:after="240" w:line="276" w:lineRule="auto"/>
        <w:ind w:left="714" w:right="-285" w:hanging="357"/>
      </w:pPr>
      <w:r>
        <w:t>Suelo cemento y grava-cemento</w:t>
      </w:r>
    </w:p>
    <w:p w:rsidR="00C7085E" w:rsidRDefault="00C7085E" w:rsidP="00B71B1A">
      <w:pPr>
        <w:spacing w:before="120" w:after="240" w:line="276" w:lineRule="auto"/>
        <w:ind w:right="-285"/>
      </w:pPr>
      <w:r>
        <w:t>La rasante de la superficie terminada no deberá superar a la teórica en ningún punto ni quedar por debajo de ella en más de quince milímetros (15 mm).</w:t>
      </w:r>
    </w:p>
    <w:p w:rsidR="00C7085E" w:rsidRDefault="00C7085E" w:rsidP="00B71B1A">
      <w:pPr>
        <w:spacing w:before="120" w:after="240" w:line="276" w:lineRule="auto"/>
        <w:ind w:right="-285"/>
      </w:pPr>
      <w:r>
        <w:t>La anchura de la capa extendida, en ningún caso deberá ser inferior ni superar en más de diez centímetros (10 cm), a la establecida en los planos de secciones tipo de Proyecto.</w:t>
      </w:r>
    </w:p>
    <w:p w:rsidR="00C7085E" w:rsidRDefault="00C7085E" w:rsidP="00B71B1A">
      <w:pPr>
        <w:spacing w:before="120" w:after="240" w:line="276" w:lineRule="auto"/>
        <w:ind w:right="-285"/>
      </w:pPr>
      <w:r>
        <w:t>No se admiten tolerancias, ni por exceso ni por defecto, en el espesor de la capa terminada.</w:t>
      </w:r>
    </w:p>
    <w:p w:rsidR="00C7085E" w:rsidRDefault="00C7085E" w:rsidP="00B71B1A">
      <w:pPr>
        <w:keepNext/>
        <w:keepLines/>
        <w:widowControl/>
        <w:numPr>
          <w:ilvl w:val="0"/>
          <w:numId w:val="12"/>
        </w:numPr>
        <w:spacing w:before="120" w:after="240" w:line="276" w:lineRule="auto"/>
        <w:ind w:left="714" w:right="-285" w:hanging="357"/>
      </w:pPr>
      <w:r>
        <w:t>Suelo estabilizado con cemento</w:t>
      </w:r>
    </w:p>
    <w:p w:rsidR="00C7085E" w:rsidRDefault="00C7085E" w:rsidP="00B71B1A">
      <w:pPr>
        <w:keepNext/>
        <w:keepLines/>
        <w:spacing w:before="120" w:after="240" w:line="276" w:lineRule="auto"/>
        <w:ind w:right="-285"/>
      </w:pPr>
      <w:r>
        <w:t>La rasante de la superficie estabilizada terminada no deberá superar a la teórica en ningún punto ni quedar por debajo de ella en más de treinta milímetros (30 mm) en estabilizaciones “in situ” de fondos de desmonte y formación de núcleos de terraplén.</w:t>
      </w:r>
    </w:p>
    <w:p w:rsidR="00C7085E" w:rsidRDefault="00C7085E" w:rsidP="00B71B1A">
      <w:pPr>
        <w:spacing w:before="120" w:after="240" w:line="276" w:lineRule="auto"/>
        <w:ind w:right="-285"/>
      </w:pPr>
      <w:r>
        <w:t>En el caso de estabilizaciones con objeto de obtener explanadas de categorías E1 a E3, la rasante no podrá quedar por debajo de la teórica en más de veinte milímetros (20 mm).</w:t>
      </w:r>
    </w:p>
    <w:p w:rsidR="00C7085E" w:rsidRDefault="00C7085E" w:rsidP="00B71B1A">
      <w:pPr>
        <w:spacing w:before="120" w:after="240" w:line="276" w:lineRule="auto"/>
        <w:ind w:right="-285"/>
      </w:pPr>
      <w:r>
        <w:t>La anchura de la capa estabilizada, en ningún caso deberá ser inferior ni superar en más de diez centímetros (10 cm), a la establecida en los planos de secciones tipo de Proyecto.</w:t>
      </w:r>
    </w:p>
    <w:p w:rsidR="00C7085E" w:rsidRDefault="00C7085E" w:rsidP="00B71B1A">
      <w:pPr>
        <w:spacing w:before="120" w:after="240" w:line="276" w:lineRule="auto"/>
        <w:ind w:right="-285"/>
      </w:pPr>
      <w:r>
        <w:t>No se admiten tolerancias, ni por exceso ni por defecto, en el espesor de la capa estabilizada.</w:t>
      </w:r>
    </w:p>
    <w:p w:rsidR="0071105C" w:rsidRDefault="0071105C" w:rsidP="00B71B1A">
      <w:pPr>
        <w:widowControl/>
        <w:autoSpaceDE/>
        <w:autoSpaceDN/>
        <w:adjustRightInd/>
        <w:spacing w:line="276" w:lineRule="auto"/>
        <w:ind w:right="-285"/>
        <w:jc w:val="left"/>
        <w:rPr>
          <w:b/>
          <w:bCs/>
          <w:szCs w:val="28"/>
        </w:rPr>
      </w:pPr>
      <w:r>
        <w:br w:type="page"/>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Medición y abono</w:t>
      </w:r>
    </w:p>
    <w:p w:rsidR="00C7085E" w:rsidRDefault="00C7085E" w:rsidP="00B71B1A">
      <w:pPr>
        <w:spacing w:before="120" w:after="240" w:line="276" w:lineRule="auto"/>
        <w:ind w:right="-285"/>
      </w:pPr>
      <w:r>
        <w:t>Las sub-bases y bases granulares se medirán por metros cúbicos (m</w:t>
      </w:r>
      <w:r>
        <w:rPr>
          <w:vertAlign w:val="superscript"/>
        </w:rPr>
        <w:t>3</w:t>
      </w:r>
      <w:r>
        <w:t xml:space="preserve">) medidos sobre perfil. </w:t>
      </w:r>
    </w:p>
    <w:p w:rsidR="00C7085E" w:rsidRDefault="00C7085E" w:rsidP="00B71B1A">
      <w:pPr>
        <w:spacing w:before="120" w:after="240" w:line="276" w:lineRule="auto"/>
        <w:ind w:right="-285"/>
      </w:pPr>
      <w:r>
        <w:t>El abono se realizará mediante la aplicación de los correspondientes precios que figuren en el Cuadro de Precios vigente de Canal de Isabel II Gestión.</w:t>
      </w:r>
    </w:p>
    <w:p w:rsidR="00C7085E" w:rsidRDefault="00C7085E" w:rsidP="00B71B1A">
      <w:pPr>
        <w:spacing w:before="120" w:after="240" w:line="276" w:lineRule="auto"/>
        <w:ind w:right="-285"/>
      </w:pPr>
      <w:r>
        <w:t>En el precio se consideran incluidos la puesta en obra del material, su extensión y compactación en capas de 20/30 cm de espesor, así como la preparación de la superficie de asiento.</w:t>
      </w:r>
    </w:p>
    <w:p w:rsidR="00C7085E" w:rsidRDefault="00C7085E" w:rsidP="00B71B1A">
      <w:pPr>
        <w:spacing w:before="120" w:after="240" w:line="276" w:lineRule="auto"/>
        <w:ind w:right="-285"/>
      </w:pPr>
      <w:r>
        <w:t>No serán de abono los excesos laterales, ni las consecuentes de la aplicación de la compensación de una merma de espesores en las capas subyacentes.</w:t>
      </w:r>
    </w:p>
    <w:p w:rsidR="00C7085E" w:rsidRDefault="00C7085E" w:rsidP="00B71B1A">
      <w:pPr>
        <w:spacing w:before="120" w:after="240" w:line="276" w:lineRule="auto"/>
        <w:ind w:right="-285"/>
      </w:pPr>
      <w:r>
        <w:t>La grava-cemento y el suelo cemento se medirán por metros cúbicos (m</w:t>
      </w:r>
      <w:r>
        <w:rPr>
          <w:vertAlign w:val="superscript"/>
        </w:rPr>
        <w:t>3</w:t>
      </w:r>
      <w:r>
        <w:t>) realmente fabricados y puestos en obra, medidos en las secciones tipo señaladas en los planos de Proyecto.</w:t>
      </w:r>
    </w:p>
    <w:p w:rsidR="00C7085E" w:rsidRDefault="00C7085E" w:rsidP="00B71B1A">
      <w:pPr>
        <w:spacing w:before="120" w:after="240" w:line="276" w:lineRule="auto"/>
        <w:ind w:right="-285"/>
      </w:pPr>
      <w:r>
        <w:t>Se abonarán aplicando los correspondientes  precios, que figuren en el Cuadro de Precios vigente de Canal de Isabel II Gestión.</w:t>
      </w:r>
    </w:p>
    <w:p w:rsidR="00C7085E" w:rsidRDefault="00C7085E" w:rsidP="00B71B1A">
      <w:pPr>
        <w:spacing w:before="120" w:after="240" w:line="276" w:lineRule="auto"/>
        <w:ind w:right="-285"/>
      </w:pPr>
      <w:r>
        <w:t xml:space="preserve">En el precio se consideran incluidos todos los componentes (cemento, áridos, agua, ligante bituminoso etc.) y todas las operaciones necesarias (puesta en obra, extendido y compactación, preparación de la superficie existente y curado, etc.) para la correcta ejecución de la unidad. </w:t>
      </w:r>
    </w:p>
    <w:p w:rsidR="00C7085E" w:rsidRDefault="00C7085E" w:rsidP="00B71B1A">
      <w:pPr>
        <w:spacing w:before="120" w:after="240" w:line="276" w:lineRule="auto"/>
        <w:ind w:right="-285"/>
      </w:pPr>
      <w:r>
        <w:t>La ejecución de suelos estabilizados con cemento se medirá por metros cúbicos (m</w:t>
      </w:r>
      <w:r>
        <w:rPr>
          <w:vertAlign w:val="superscript"/>
        </w:rPr>
        <w:t>3</w:t>
      </w:r>
      <w:r>
        <w:t>) de material realmente estabilizado, los cuales se obtendrán, en el caso de mezcla “in situ” como producto de la superficie realmente estabilizada, medida sobre el terreno, por el espesor medio estabilizado deducido de los ensayos de control. En el caso de que la mezcla se elabore en central, la medición se obtendrá directamente de la cubicación de las secciones tipo señaladas en los planos.</w:t>
      </w:r>
    </w:p>
    <w:p w:rsidR="00C7085E" w:rsidRDefault="00C7085E" w:rsidP="00B71B1A">
      <w:pPr>
        <w:spacing w:before="120" w:after="240" w:line="276" w:lineRule="auto"/>
        <w:ind w:right="-285"/>
      </w:pPr>
      <w:r>
        <w:t>Se abonarán aplicando el precio</w:t>
      </w:r>
      <w:r>
        <w:rPr>
          <w:b/>
        </w:rPr>
        <w:t xml:space="preserve"> </w:t>
      </w:r>
      <w:r>
        <w:t>correspondiente de los que figuren en el Cuadro de Precios vigente de Canal de Isabel II Gestión.</w:t>
      </w:r>
    </w:p>
    <w:p w:rsidR="00C7085E" w:rsidRDefault="00C7085E" w:rsidP="00B71B1A">
      <w:pPr>
        <w:spacing w:before="120" w:after="240" w:line="276" w:lineRule="auto"/>
        <w:ind w:right="-285"/>
      </w:pPr>
      <w:r>
        <w:t xml:space="preserve">En el precio se consideran incluidos todos los componentes (cemento, agua, ligante bituminoso, etc.) y todas las operaciones necesarias (preparación de la superficie existente, extendido, compactado, refino y curado de la superficie estabilizada) para la correcta ejecución de la unidad. </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96" w:name="_Toc414021866"/>
      <w:bookmarkStart w:id="597" w:name="_Toc448741456"/>
      <w:r>
        <w:t>Bordillos, adoquinados y aceras</w:t>
      </w:r>
      <w:bookmarkEnd w:id="596"/>
      <w:bookmarkEnd w:id="597"/>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keepNext/>
        <w:widowControl/>
        <w:numPr>
          <w:ilvl w:val="0"/>
          <w:numId w:val="12"/>
        </w:numPr>
        <w:spacing w:before="120" w:after="240" w:line="276" w:lineRule="auto"/>
        <w:ind w:left="714" w:right="-285" w:hanging="357"/>
      </w:pPr>
      <w:r>
        <w:t>Bordillos</w:t>
      </w:r>
    </w:p>
    <w:p w:rsidR="00C7085E" w:rsidRDefault="00C7085E" w:rsidP="00B71B1A">
      <w:pPr>
        <w:spacing w:before="120" w:after="240" w:line="276" w:lineRule="auto"/>
        <w:ind w:right="-285"/>
      </w:pPr>
      <w:r>
        <w:t>Los bordillos prefabricados de hormigón se ajustarán a las especificaciones establecidas en las normas UNE-EN 1340: “</w:t>
      </w:r>
      <w:r>
        <w:rPr>
          <w:i/>
        </w:rPr>
        <w:t xml:space="preserve">Bordillos prefabricados de hormigón. Especificaciones y </w:t>
      </w:r>
      <w:r>
        <w:rPr>
          <w:i/>
        </w:rPr>
        <w:lastRenderedPageBreak/>
        <w:t xml:space="preserve">métodos de ensayo”, </w:t>
      </w:r>
      <w:r>
        <w:t>y en la UNE 127340, complemento de la anterior, sin perjuicio de lo establecido en la vigente Instrucción de Hormigón Estructural (EHE).</w:t>
      </w:r>
    </w:p>
    <w:p w:rsidR="00C7085E" w:rsidRDefault="00C7085E" w:rsidP="00B71B1A">
      <w:pPr>
        <w:spacing w:before="120" w:after="240" w:line="276" w:lineRule="auto"/>
        <w:ind w:right="-285"/>
      </w:pPr>
      <w:r>
        <w:t xml:space="preserve">Los bordillos graníticos deberán cumplir las prescripciones establecidas en la norma UNE-EN 1343: </w:t>
      </w:r>
      <w:r>
        <w:rPr>
          <w:i/>
        </w:rPr>
        <w:t>“Bordillos de piedra natural para uso como pavimento exterior. Requisitos y métodos de ensayo</w:t>
      </w:r>
      <w:r>
        <w:t>”.</w:t>
      </w:r>
    </w:p>
    <w:p w:rsidR="00C7085E" w:rsidRDefault="00C7085E" w:rsidP="00B71B1A">
      <w:pPr>
        <w:keepNext/>
        <w:widowControl/>
        <w:numPr>
          <w:ilvl w:val="0"/>
          <w:numId w:val="12"/>
        </w:numPr>
        <w:spacing w:before="120" w:after="240" w:line="276" w:lineRule="auto"/>
        <w:ind w:left="714" w:right="-285" w:hanging="357"/>
      </w:pPr>
      <w:r>
        <w:t>Adoquinados</w:t>
      </w:r>
    </w:p>
    <w:p w:rsidR="00C7085E" w:rsidRDefault="00C7085E" w:rsidP="00B71B1A">
      <w:pPr>
        <w:spacing w:before="120" w:after="240" w:line="276" w:lineRule="auto"/>
        <w:ind w:right="-285"/>
        <w:rPr>
          <w:i/>
        </w:rPr>
      </w:pPr>
      <w:r>
        <w:t xml:space="preserve">Los materiales empleados en la fabricación de adoquines prefabricados de hormigón deberán cumplir las condiciones establecidas en la UNE-EN 1338: </w:t>
      </w:r>
      <w:r>
        <w:rPr>
          <w:i/>
        </w:rPr>
        <w:t>“Adoquines de hormigón. Especificaciones y métodos de ensayo”.</w:t>
      </w:r>
    </w:p>
    <w:p w:rsidR="00C7085E" w:rsidRDefault="00C7085E" w:rsidP="00B71B1A">
      <w:pPr>
        <w:spacing w:before="120" w:after="240" w:line="276" w:lineRule="auto"/>
        <w:ind w:right="-285"/>
        <w:rPr>
          <w:i/>
        </w:rPr>
      </w:pPr>
      <w:r>
        <w:t>Los adoquines graníticos cumplirán las condiciones establecidas en la UNE-EN 1342: “</w:t>
      </w:r>
      <w:r>
        <w:rPr>
          <w:i/>
        </w:rPr>
        <w:t>Adoquines de piedra natural para uso como pavimento exterior. Requisitos y métodos de ensayo”.</w:t>
      </w:r>
    </w:p>
    <w:p w:rsidR="00C7085E" w:rsidRDefault="00C7085E" w:rsidP="00B71B1A">
      <w:pPr>
        <w:keepNext/>
        <w:keepLines/>
        <w:widowControl/>
        <w:numPr>
          <w:ilvl w:val="0"/>
          <w:numId w:val="12"/>
        </w:numPr>
        <w:spacing w:before="120" w:after="240" w:line="276" w:lineRule="auto"/>
        <w:ind w:left="714" w:right="-285" w:hanging="357"/>
      </w:pPr>
      <w:r>
        <w:t>Aceras</w:t>
      </w:r>
    </w:p>
    <w:p w:rsidR="00C7085E" w:rsidRDefault="00C7085E" w:rsidP="00B71B1A">
      <w:pPr>
        <w:spacing w:before="120" w:after="240" w:line="276" w:lineRule="auto"/>
        <w:ind w:right="-285"/>
      </w:pPr>
      <w:r>
        <w:t>Las características de las aceras a emplear vendrán definidas en el Proyecto y podrán estar constituidas por losas o losetas hidráulicas, losas prefabricadas de hormigón, losas de hormigón granallado, losas de piedra caliza, baldosas de terrazo, pavimento de cemento ruleteado o cualquier otro tipo de material destinado a este fin.</w:t>
      </w:r>
    </w:p>
    <w:p w:rsidR="00C7085E" w:rsidRDefault="00C7085E" w:rsidP="00B71B1A">
      <w:pPr>
        <w:spacing w:before="120" w:after="240" w:line="276" w:lineRule="auto"/>
        <w:ind w:right="-285"/>
      </w:pPr>
      <w:r>
        <w:t>La normativa técnica a aplicar, en función del material de la baldosa empleada, será la siguiente:</w:t>
      </w:r>
    </w:p>
    <w:tbl>
      <w:tblPr>
        <w:tblStyle w:val="Tablaconcuadrcula"/>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408"/>
      </w:tblGrid>
      <w:tr w:rsidR="00C7085E" w:rsidTr="00C7085E">
        <w:tc>
          <w:tcPr>
            <w:tcW w:w="1985" w:type="dxa"/>
            <w:hideMark/>
          </w:tcPr>
          <w:p w:rsidR="00C7085E" w:rsidRDefault="00C7085E" w:rsidP="00B71B1A">
            <w:pPr>
              <w:spacing w:before="120" w:after="240" w:line="276" w:lineRule="auto"/>
              <w:ind w:right="-285"/>
            </w:pPr>
            <w:r>
              <w:rPr>
                <w:rFonts w:cs="Arial"/>
                <w:szCs w:val="22"/>
              </w:rPr>
              <w:t xml:space="preserve">UNE-EN </w:t>
            </w:r>
            <w:r>
              <w:rPr>
                <w:rFonts w:cs="Arial"/>
                <w:color w:val="000000"/>
                <w:szCs w:val="22"/>
              </w:rPr>
              <w:t>1339:</w:t>
            </w:r>
          </w:p>
        </w:tc>
        <w:tc>
          <w:tcPr>
            <w:tcW w:w="6408" w:type="dxa"/>
            <w:hideMark/>
          </w:tcPr>
          <w:p w:rsidR="00C7085E" w:rsidRDefault="00C7085E" w:rsidP="00B71B1A">
            <w:pPr>
              <w:spacing w:before="120" w:after="240" w:line="276" w:lineRule="auto"/>
              <w:ind w:right="-285"/>
              <w:rPr>
                <w:rFonts w:cs="Arial"/>
                <w:i/>
                <w:szCs w:val="22"/>
              </w:rPr>
            </w:pPr>
            <w:r>
              <w:rPr>
                <w:rFonts w:cs="Arial"/>
                <w:color w:val="000000"/>
                <w:szCs w:val="22"/>
              </w:rPr>
              <w:t>“</w:t>
            </w:r>
            <w:r>
              <w:rPr>
                <w:rFonts w:cs="Arial"/>
                <w:i/>
                <w:color w:val="000000"/>
                <w:szCs w:val="22"/>
              </w:rPr>
              <w:t>Baldosas de hormigón. Especificaciones y ensayo”.</w:t>
            </w:r>
          </w:p>
        </w:tc>
      </w:tr>
      <w:tr w:rsidR="00C7085E" w:rsidTr="00C7085E">
        <w:tc>
          <w:tcPr>
            <w:tcW w:w="1985" w:type="dxa"/>
            <w:hideMark/>
          </w:tcPr>
          <w:p w:rsidR="00C7085E" w:rsidRDefault="00C7085E" w:rsidP="00B71B1A">
            <w:pPr>
              <w:spacing w:before="120" w:after="240" w:line="276" w:lineRule="auto"/>
              <w:ind w:right="-285"/>
            </w:pPr>
            <w:r>
              <w:rPr>
                <w:rFonts w:cs="Arial"/>
                <w:szCs w:val="22"/>
              </w:rPr>
              <w:t>UNE 127339:</w:t>
            </w:r>
          </w:p>
        </w:tc>
        <w:tc>
          <w:tcPr>
            <w:tcW w:w="6408" w:type="dxa"/>
            <w:hideMark/>
          </w:tcPr>
          <w:p w:rsidR="00C7085E" w:rsidRDefault="00C7085E" w:rsidP="00B71B1A">
            <w:pPr>
              <w:spacing w:before="120" w:after="240" w:line="276" w:lineRule="auto"/>
              <w:ind w:right="-285"/>
              <w:rPr>
                <w:rFonts w:cs="Arial"/>
                <w:i/>
                <w:color w:val="000000"/>
                <w:szCs w:val="22"/>
              </w:rPr>
            </w:pPr>
            <w:r>
              <w:rPr>
                <w:rFonts w:cs="Arial"/>
                <w:i/>
                <w:color w:val="000000"/>
                <w:szCs w:val="22"/>
              </w:rPr>
              <w:t>“Baldosas de hormigón. Complemento nacional a la norma UNE-EN 1339”.</w:t>
            </w:r>
          </w:p>
        </w:tc>
      </w:tr>
      <w:tr w:rsidR="00C7085E" w:rsidTr="00C7085E">
        <w:tc>
          <w:tcPr>
            <w:tcW w:w="1985" w:type="dxa"/>
            <w:hideMark/>
          </w:tcPr>
          <w:p w:rsidR="00C7085E" w:rsidRDefault="00C7085E" w:rsidP="00B71B1A">
            <w:pPr>
              <w:spacing w:before="120" w:after="240" w:line="276" w:lineRule="auto"/>
              <w:ind w:right="-285"/>
              <w:rPr>
                <w:rFonts w:cs="Arial"/>
                <w:szCs w:val="22"/>
              </w:rPr>
            </w:pPr>
            <w:r>
              <w:rPr>
                <w:rFonts w:cs="Arial"/>
                <w:szCs w:val="22"/>
              </w:rPr>
              <w:t>UNE-EN 1341:</w:t>
            </w:r>
          </w:p>
        </w:tc>
        <w:tc>
          <w:tcPr>
            <w:tcW w:w="6408" w:type="dxa"/>
            <w:hideMark/>
          </w:tcPr>
          <w:p w:rsidR="00C7085E" w:rsidRDefault="00C7085E" w:rsidP="00B71B1A">
            <w:pPr>
              <w:spacing w:before="120" w:after="240" w:line="276" w:lineRule="auto"/>
              <w:ind w:right="-285"/>
              <w:rPr>
                <w:rFonts w:cs="Arial"/>
                <w:i/>
                <w:color w:val="000000"/>
                <w:szCs w:val="22"/>
              </w:rPr>
            </w:pPr>
            <w:r>
              <w:rPr>
                <w:rFonts w:cs="Arial"/>
                <w:i/>
                <w:color w:val="000000"/>
                <w:szCs w:val="22"/>
              </w:rPr>
              <w:t>“Baldosas de piedra natural para uso como pavimento exterior. Requisitos y métodos de ensayo”.</w:t>
            </w:r>
          </w:p>
        </w:tc>
      </w:tr>
    </w:tbl>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rPr>
          <w:rFonts w:ascii="Arial Negrita" w:hAnsi="Arial Negrita" w:cs="Arial Negrita"/>
          <w:szCs w:val="20"/>
        </w:rPr>
      </w:pPr>
      <w:r>
        <w:t>Ejecución</w:t>
      </w:r>
    </w:p>
    <w:p w:rsidR="00C7085E" w:rsidRDefault="00C7085E" w:rsidP="00B71B1A">
      <w:pPr>
        <w:keepNext/>
        <w:widowControl/>
        <w:numPr>
          <w:ilvl w:val="0"/>
          <w:numId w:val="12"/>
        </w:numPr>
        <w:spacing w:before="120" w:after="240" w:line="276" w:lineRule="auto"/>
        <w:ind w:left="714" w:right="-285" w:hanging="357"/>
      </w:pPr>
      <w:r>
        <w:t>Bordillos</w:t>
      </w:r>
    </w:p>
    <w:p w:rsidR="00C7085E" w:rsidRPr="00E77B39" w:rsidRDefault="00C7085E" w:rsidP="00B71B1A">
      <w:pPr>
        <w:keepNext/>
        <w:keepLines/>
        <w:spacing w:before="120" w:after="240" w:line="276" w:lineRule="auto"/>
        <w:ind w:right="-285"/>
      </w:pPr>
      <w:r w:rsidRPr="00E77B39">
        <w:t xml:space="preserve">Todo bordillo ha de recibirse en una cama o </w:t>
      </w:r>
      <w:hyperlink r:id="rId18" w:tooltip="Solera" w:history="1">
        <w:r w:rsidRPr="00E77B39">
          <w:rPr>
            <w:rStyle w:val="Hipervnculo"/>
            <w:color w:val="auto"/>
            <w:u w:val="none"/>
          </w:rPr>
          <w:t>solera</w:t>
        </w:r>
      </w:hyperlink>
      <w:r w:rsidRPr="00E77B39">
        <w:t xml:space="preserve"> de hormigón HM-20, clave para su funcionamiento general, independientemente del tipo de firmes que delimiten. </w:t>
      </w:r>
    </w:p>
    <w:p w:rsidR="00C7085E" w:rsidRPr="00E77B39" w:rsidRDefault="00C7085E" w:rsidP="00B71B1A">
      <w:pPr>
        <w:spacing w:before="120" w:after="240" w:line="276" w:lineRule="auto"/>
        <w:ind w:right="-285"/>
      </w:pPr>
      <w:r w:rsidRPr="00E77B39">
        <w:t xml:space="preserve">El espesor mínimo de la solera será de quince centímetros (15 cm), llegando a veinte centímetros (20 cm) en caso de soportar tráficos importantes. La anchura de la base será la del bordillo más diez centímetros (10 cm) a cada lado del mismo. </w:t>
      </w:r>
    </w:p>
    <w:p w:rsidR="00C7085E" w:rsidRPr="00E77B39" w:rsidRDefault="00C7085E" w:rsidP="00B71B1A">
      <w:pPr>
        <w:spacing w:before="120" w:after="240" w:line="276" w:lineRule="auto"/>
        <w:ind w:right="-285"/>
      </w:pPr>
      <w:r w:rsidRPr="00E77B39">
        <w:t xml:space="preserve">El bordillo se recibirá en la cama o solera mediante una capa de mortero de cemento y </w:t>
      </w:r>
      <w:r w:rsidRPr="00E77B39">
        <w:lastRenderedPageBreak/>
        <w:t xml:space="preserve">arena de río en la proporción de uno a tres (1 a 3), respectivamente. Este mortero debe ser duro, de consistencia seca y </w:t>
      </w:r>
      <w:hyperlink r:id="rId19" w:tooltip="Cono de Abrams" w:history="1">
        <w:r w:rsidRPr="00E77B39">
          <w:rPr>
            <w:rStyle w:val="Hipervnculo"/>
            <w:color w:val="auto"/>
            <w:u w:val="none"/>
          </w:rPr>
          <w:t>cono de Abrams</w:t>
        </w:r>
      </w:hyperlink>
      <w:r w:rsidRPr="00E77B39">
        <w:t xml:space="preserve"> inferior a cinco centímetros (5 cm).</w:t>
      </w:r>
    </w:p>
    <w:p w:rsidR="00C7085E" w:rsidRPr="00E77B39" w:rsidRDefault="00C7085E" w:rsidP="00B71B1A">
      <w:pPr>
        <w:spacing w:before="120" w:after="240" w:line="276" w:lineRule="auto"/>
        <w:ind w:right="-285"/>
      </w:pPr>
      <w:r w:rsidRPr="00E77B39">
        <w:t xml:space="preserve">La colocación se comenzará en una alineación recta y por el punto más bajo del tramo y se continuara pendiente arriba, siempre que se pueda. </w:t>
      </w:r>
    </w:p>
    <w:p w:rsidR="00C7085E" w:rsidRPr="00E77B39" w:rsidRDefault="00C7085E" w:rsidP="00B71B1A">
      <w:pPr>
        <w:spacing w:before="120" w:after="240" w:line="276" w:lineRule="auto"/>
        <w:ind w:right="-285"/>
      </w:pPr>
      <w:r w:rsidRPr="00E77B39">
        <w:t xml:space="preserve">La colocación de los primeros bordillos requiere un cuidado especial, puesto que esto se reflejará en la disposición de sucesivos elementos. Para obtener un modelo de colocación se tenderá una cinta, a modo de </w:t>
      </w:r>
      <w:hyperlink r:id="rId20" w:tooltip="Replanteo" w:history="1">
        <w:r w:rsidRPr="00E77B39">
          <w:rPr>
            <w:rStyle w:val="Hipervnculo"/>
            <w:color w:val="auto"/>
            <w:u w:val="none"/>
          </w:rPr>
          <w:t>replanteo</w:t>
        </w:r>
      </w:hyperlink>
      <w:r w:rsidRPr="00E77B39">
        <w:t xml:space="preserve">, para delimitar el borde de la alineación y que ésta sirva de referencia permanente. </w:t>
      </w:r>
    </w:p>
    <w:p w:rsidR="00C7085E" w:rsidRPr="00E77B39" w:rsidRDefault="00C7085E" w:rsidP="00B71B1A">
      <w:pPr>
        <w:spacing w:before="120" w:after="240" w:line="276" w:lineRule="auto"/>
        <w:ind w:right="-285"/>
      </w:pPr>
      <w:r w:rsidRPr="00E77B39">
        <w:t xml:space="preserve">De cualquier forma, se hace indispensable un </w:t>
      </w:r>
      <w:hyperlink r:id="rId21" w:tooltip="Retacar" w:history="1">
        <w:r w:rsidRPr="00E77B39">
          <w:rPr>
            <w:rStyle w:val="Hipervnculo"/>
            <w:color w:val="auto"/>
            <w:u w:val="none"/>
          </w:rPr>
          <w:t>retacado</w:t>
        </w:r>
      </w:hyperlink>
      <w:r w:rsidRPr="00E77B39">
        <w:t xml:space="preserve"> de los bordillos con hormigón, a modo de </w:t>
      </w:r>
      <w:hyperlink r:id="rId22" w:tooltip="Trasdós" w:history="1">
        <w:r w:rsidRPr="00E77B39">
          <w:rPr>
            <w:rStyle w:val="Hipervnculo"/>
            <w:color w:val="auto"/>
            <w:u w:val="none"/>
          </w:rPr>
          <w:t>trasdosado</w:t>
        </w:r>
      </w:hyperlink>
      <w:r w:rsidRPr="00E77B39">
        <w:t xml:space="preserve">. </w:t>
      </w:r>
    </w:p>
    <w:p w:rsidR="00C7085E" w:rsidRPr="00E77B39" w:rsidRDefault="00C7085E" w:rsidP="00B71B1A">
      <w:pPr>
        <w:spacing w:before="120" w:after="240" w:line="276" w:lineRule="auto"/>
        <w:ind w:right="-285"/>
      </w:pPr>
      <w:r w:rsidRPr="00E77B39">
        <w:t>Los bordillos no deben ser martilleados, ya que se pueden provocar marcas permanentes, astillamientos o desgajamientos de los mismos, y sólo en los casos en que sea imprescindible se permite usar un martillo de goma interponiendo un elemento amortiguador (banda de caucho, madera, etc.)</w:t>
      </w:r>
    </w:p>
    <w:p w:rsidR="00C7085E" w:rsidRPr="00E77B39" w:rsidRDefault="00C7085E" w:rsidP="00B71B1A">
      <w:pPr>
        <w:spacing w:before="120" w:after="240" w:line="276" w:lineRule="auto"/>
        <w:ind w:right="-285"/>
      </w:pPr>
      <w:r w:rsidRPr="00E77B39">
        <w:t xml:space="preserve">La </w:t>
      </w:r>
      <w:hyperlink r:id="rId23" w:tooltip="Junta" w:history="1">
        <w:r w:rsidRPr="00E77B39">
          <w:rPr>
            <w:rStyle w:val="Hipervnculo"/>
            <w:color w:val="auto"/>
            <w:u w:val="none"/>
          </w:rPr>
          <w:t>junta</w:t>
        </w:r>
      </w:hyperlink>
      <w:r w:rsidRPr="00E77B39">
        <w:t xml:space="preserve"> entre piezas será de cinco milímetros (5 mm) como máximo, y se rellenará con el mismo tipo de mortero que se usa para colocar el bordillo. Para conseguir una apertura uniforme en las juntas se usarán separadores o distanciadores. </w:t>
      </w:r>
    </w:p>
    <w:p w:rsidR="00C7085E" w:rsidRPr="00E77B39" w:rsidRDefault="00C7085E" w:rsidP="00B71B1A">
      <w:pPr>
        <w:keepNext/>
        <w:widowControl/>
        <w:numPr>
          <w:ilvl w:val="0"/>
          <w:numId w:val="12"/>
        </w:numPr>
        <w:spacing w:before="120" w:after="240" w:line="276" w:lineRule="auto"/>
        <w:ind w:left="714" w:right="-285" w:hanging="357"/>
      </w:pPr>
      <w:r w:rsidRPr="00E77B39">
        <w:t>Adoquinados</w:t>
      </w:r>
    </w:p>
    <w:p w:rsidR="00C7085E" w:rsidRPr="00E77B39" w:rsidRDefault="00C7085E" w:rsidP="00B71B1A">
      <w:pPr>
        <w:spacing w:before="120" w:after="240" w:line="276" w:lineRule="auto"/>
        <w:ind w:right="-285"/>
      </w:pPr>
      <w:r w:rsidRPr="00E77B39">
        <w:t xml:space="preserve">Una vez preparada la superficie sobre la que se colocarán los adoquines, el operario irá colocando los mismos por delante de él, de forma que al avanzar, siempre irá pisando por encima de ellos. Por último, se efectúan los cortes de los </w:t>
      </w:r>
      <w:hyperlink r:id="rId24" w:tooltip="Remate" w:history="1">
        <w:r w:rsidRPr="00E77B39">
          <w:rPr>
            <w:rStyle w:val="Hipervnculo"/>
            <w:color w:val="auto"/>
            <w:u w:val="none"/>
          </w:rPr>
          <w:t>remates</w:t>
        </w:r>
      </w:hyperlink>
      <w:r w:rsidRPr="00E77B39">
        <w:t xml:space="preserve">. </w:t>
      </w:r>
    </w:p>
    <w:p w:rsidR="00C7085E" w:rsidRPr="00E77B39" w:rsidRDefault="00C7085E" w:rsidP="00B71B1A">
      <w:pPr>
        <w:spacing w:before="120" w:after="240" w:line="276" w:lineRule="auto"/>
        <w:ind w:right="-285"/>
      </w:pPr>
      <w:r w:rsidRPr="00E77B39">
        <w:t xml:space="preserve">Se deberá comprobar el perfecto encaje de las piezas y que el espesor de las </w:t>
      </w:r>
      <w:hyperlink r:id="rId25" w:tooltip="Junta" w:history="1">
        <w:r w:rsidRPr="00E77B39">
          <w:rPr>
            <w:rStyle w:val="Hipervnculo"/>
            <w:color w:val="auto"/>
            <w:u w:val="none"/>
          </w:rPr>
          <w:t>juntas</w:t>
        </w:r>
      </w:hyperlink>
      <w:r w:rsidRPr="00E77B39">
        <w:t xml:space="preserve"> sea el mismo. Además se verificará que no aparecen cejas entre los adoquines y que las piezas se han dispuesto alineadas. </w:t>
      </w:r>
    </w:p>
    <w:p w:rsidR="00C7085E" w:rsidRPr="00E77B39" w:rsidRDefault="00C7085E" w:rsidP="00B71B1A">
      <w:pPr>
        <w:keepNext/>
        <w:widowControl/>
        <w:numPr>
          <w:ilvl w:val="0"/>
          <w:numId w:val="12"/>
        </w:numPr>
        <w:spacing w:before="120" w:after="240" w:line="276" w:lineRule="auto"/>
        <w:ind w:left="714" w:right="-285" w:hanging="357"/>
      </w:pPr>
      <w:r w:rsidRPr="00E77B39">
        <w:t>Aceras</w:t>
      </w:r>
    </w:p>
    <w:p w:rsidR="00C7085E" w:rsidRPr="00E77B39" w:rsidRDefault="00C7085E" w:rsidP="00B71B1A">
      <w:pPr>
        <w:spacing w:before="120" w:after="240" w:line="276" w:lineRule="auto"/>
        <w:ind w:right="-285"/>
      </w:pPr>
      <w:r w:rsidRPr="00E77B39">
        <w:t>El acerado se construirá según la geometría que se defina en el Proyecto.</w:t>
      </w:r>
    </w:p>
    <w:p w:rsidR="00C7085E" w:rsidRDefault="00C7085E" w:rsidP="00B71B1A">
      <w:pPr>
        <w:spacing w:before="120" w:after="240" w:line="276" w:lineRule="auto"/>
        <w:ind w:right="-285"/>
      </w:pPr>
      <w:r w:rsidRPr="00E77B39">
        <w:t xml:space="preserve">Las aceras de baldosas hidráulicas se asentarán sobre una capa de mortero de cemento, nivelándolas a golpe de maceta y dándoles la pendiente de desagüe correspondiente. </w:t>
      </w:r>
      <w:r>
        <w:t>Después se pasará con una escobilla, una lechada de cemento para el relleno de las juntas, que no serán superiores a cinco milímetros (5 mm).</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Control de calidad </w:t>
      </w:r>
    </w:p>
    <w:p w:rsidR="00C7085E" w:rsidRDefault="00C7085E" w:rsidP="00B71B1A">
      <w:pPr>
        <w:widowControl/>
        <w:numPr>
          <w:ilvl w:val="0"/>
          <w:numId w:val="12"/>
        </w:numPr>
        <w:spacing w:before="120" w:after="240" w:line="276" w:lineRule="auto"/>
        <w:ind w:left="714" w:right="-285" w:hanging="357"/>
      </w:pPr>
      <w:r>
        <w:t>Bordillos</w:t>
      </w:r>
    </w:p>
    <w:p w:rsidR="00C7085E" w:rsidRDefault="00C7085E" w:rsidP="00B71B1A">
      <w:pPr>
        <w:spacing w:before="120" w:after="240" w:line="276" w:lineRule="auto"/>
        <w:ind w:right="-285"/>
      </w:pPr>
      <w:r>
        <w:t>Los bordillos prefabricados de hormigón deberán estar en posesión del marcado CE y cumplir con la norma UNE-EN 1340.</w:t>
      </w:r>
    </w:p>
    <w:p w:rsidR="00C7085E" w:rsidRDefault="00C7085E" w:rsidP="00B71B1A">
      <w:pPr>
        <w:spacing w:before="120" w:after="240" w:line="276" w:lineRule="auto"/>
        <w:ind w:right="-285"/>
      </w:pPr>
      <w:r>
        <w:lastRenderedPageBreak/>
        <w:t>Para el control de calidad de los bordillos de piedra natural se estará sujeto a lo establecido en las siguientes normas:</w:t>
      </w:r>
    </w:p>
    <w:tbl>
      <w:tblPr>
        <w:tblStyle w:val="Tablaconcuadrcula"/>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550"/>
      </w:tblGrid>
      <w:tr w:rsidR="00C7085E" w:rsidTr="00C7085E">
        <w:tc>
          <w:tcPr>
            <w:tcW w:w="1843" w:type="dxa"/>
            <w:hideMark/>
          </w:tcPr>
          <w:p w:rsidR="00C7085E" w:rsidRDefault="00C7085E" w:rsidP="00B71B1A">
            <w:pPr>
              <w:spacing w:before="120" w:after="240" w:line="276" w:lineRule="auto"/>
              <w:ind w:right="-285"/>
            </w:pPr>
            <w:r>
              <w:rPr>
                <w:rFonts w:cs="Arial"/>
                <w:szCs w:val="22"/>
              </w:rPr>
              <w:t>UNE-EN 14231:</w:t>
            </w:r>
          </w:p>
        </w:tc>
        <w:tc>
          <w:tcPr>
            <w:tcW w:w="6550" w:type="dxa"/>
            <w:hideMark/>
          </w:tcPr>
          <w:p w:rsidR="00C7085E" w:rsidRDefault="00C7085E" w:rsidP="00B71B1A">
            <w:pPr>
              <w:spacing w:before="120" w:after="240" w:line="276" w:lineRule="auto"/>
              <w:ind w:right="-285"/>
              <w:rPr>
                <w:rFonts w:cs="Arial"/>
                <w:i/>
                <w:color w:val="000000"/>
                <w:szCs w:val="22"/>
              </w:rPr>
            </w:pPr>
            <w:r>
              <w:rPr>
                <w:rFonts w:cs="Arial"/>
                <w:i/>
                <w:color w:val="000000"/>
                <w:szCs w:val="22"/>
              </w:rPr>
              <w:t>Métodos de ensayo para piedra natural. Determinación de la resistencia al deslizamiento mediante el péndulo de fricción”.</w:t>
            </w:r>
          </w:p>
        </w:tc>
      </w:tr>
      <w:tr w:rsidR="00C7085E" w:rsidTr="00C7085E">
        <w:tc>
          <w:tcPr>
            <w:tcW w:w="1843" w:type="dxa"/>
            <w:hideMark/>
          </w:tcPr>
          <w:p w:rsidR="00C7085E" w:rsidRDefault="00C7085E" w:rsidP="00B71B1A">
            <w:pPr>
              <w:spacing w:before="120" w:after="240" w:line="276" w:lineRule="auto"/>
              <w:ind w:right="-285"/>
              <w:rPr>
                <w:rFonts w:cs="Arial"/>
                <w:szCs w:val="22"/>
              </w:rPr>
            </w:pPr>
            <w:r>
              <w:rPr>
                <w:rFonts w:cs="Arial"/>
                <w:szCs w:val="22"/>
              </w:rPr>
              <w:t xml:space="preserve">UNE-EN 14157: </w:t>
            </w:r>
          </w:p>
        </w:tc>
        <w:tc>
          <w:tcPr>
            <w:tcW w:w="6550" w:type="dxa"/>
            <w:hideMark/>
          </w:tcPr>
          <w:p w:rsidR="00C7085E" w:rsidRDefault="00C7085E" w:rsidP="00B71B1A">
            <w:pPr>
              <w:spacing w:before="120" w:after="240" w:line="276" w:lineRule="auto"/>
              <w:ind w:right="-285"/>
            </w:pPr>
            <w:r>
              <w:rPr>
                <w:rFonts w:cs="Arial"/>
                <w:i/>
                <w:color w:val="000000"/>
                <w:szCs w:val="22"/>
              </w:rPr>
              <w:t>“Métodos de ensayo para piedra natural. Determinación de la resistencia a la abrasión.</w:t>
            </w:r>
          </w:p>
        </w:tc>
      </w:tr>
      <w:tr w:rsidR="00C7085E" w:rsidTr="00C7085E">
        <w:tc>
          <w:tcPr>
            <w:tcW w:w="1843" w:type="dxa"/>
            <w:hideMark/>
          </w:tcPr>
          <w:p w:rsidR="00C7085E" w:rsidRDefault="00C7085E" w:rsidP="00B71B1A">
            <w:pPr>
              <w:spacing w:before="120" w:after="240" w:line="276" w:lineRule="auto"/>
              <w:ind w:right="-285"/>
            </w:pPr>
            <w:r>
              <w:rPr>
                <w:rFonts w:cs="Arial"/>
                <w:szCs w:val="22"/>
              </w:rPr>
              <w:t>UNE-EN 12407:</w:t>
            </w:r>
          </w:p>
        </w:tc>
        <w:tc>
          <w:tcPr>
            <w:tcW w:w="6550" w:type="dxa"/>
            <w:hideMark/>
          </w:tcPr>
          <w:p w:rsidR="00C7085E" w:rsidRDefault="00C7085E" w:rsidP="00B71B1A">
            <w:pPr>
              <w:spacing w:before="120" w:after="240" w:line="276" w:lineRule="auto"/>
              <w:ind w:right="-285"/>
              <w:rPr>
                <w:rFonts w:cs="Arial"/>
                <w:i/>
                <w:color w:val="000000"/>
                <w:szCs w:val="22"/>
              </w:rPr>
            </w:pPr>
            <w:r>
              <w:rPr>
                <w:rFonts w:cs="Arial"/>
                <w:i/>
                <w:color w:val="000000"/>
                <w:szCs w:val="22"/>
              </w:rPr>
              <w:t>“Métodos de ensayo para piedra natural. Estudio petrográfico”.</w:t>
            </w:r>
          </w:p>
        </w:tc>
      </w:tr>
      <w:tr w:rsidR="00C7085E" w:rsidTr="00C7085E">
        <w:tc>
          <w:tcPr>
            <w:tcW w:w="1843" w:type="dxa"/>
            <w:hideMark/>
          </w:tcPr>
          <w:p w:rsidR="00C7085E" w:rsidRDefault="00C7085E" w:rsidP="00B71B1A">
            <w:pPr>
              <w:spacing w:before="120" w:after="240" w:line="276" w:lineRule="auto"/>
              <w:ind w:right="-285"/>
            </w:pPr>
            <w:r>
              <w:rPr>
                <w:rFonts w:cs="Arial"/>
                <w:szCs w:val="22"/>
              </w:rPr>
              <w:t xml:space="preserve">UNE-EN </w:t>
            </w:r>
            <w:r>
              <w:rPr>
                <w:rFonts w:cs="Arial"/>
                <w:color w:val="000000"/>
                <w:szCs w:val="22"/>
              </w:rPr>
              <w:t>12372:</w:t>
            </w:r>
          </w:p>
        </w:tc>
        <w:tc>
          <w:tcPr>
            <w:tcW w:w="6550" w:type="dxa"/>
            <w:hideMark/>
          </w:tcPr>
          <w:p w:rsidR="00C7085E" w:rsidRDefault="00C7085E" w:rsidP="00B71B1A">
            <w:pPr>
              <w:spacing w:before="120" w:after="240" w:line="276" w:lineRule="auto"/>
              <w:ind w:right="-285"/>
              <w:rPr>
                <w:rFonts w:cs="Arial"/>
                <w:i/>
                <w:szCs w:val="22"/>
              </w:rPr>
            </w:pPr>
            <w:r>
              <w:rPr>
                <w:rFonts w:cs="Arial"/>
                <w:color w:val="000000"/>
                <w:szCs w:val="22"/>
              </w:rPr>
              <w:t>“</w:t>
            </w:r>
            <w:r>
              <w:rPr>
                <w:rFonts w:cs="Arial"/>
                <w:i/>
                <w:color w:val="000000"/>
                <w:szCs w:val="22"/>
              </w:rPr>
              <w:t>Métodos de ensayo para piedra natural. Determinación de la resistencia a flexión bajo carga concentrada”.</w:t>
            </w:r>
          </w:p>
        </w:tc>
      </w:tr>
      <w:tr w:rsidR="00C7085E" w:rsidTr="00C7085E">
        <w:tc>
          <w:tcPr>
            <w:tcW w:w="1843" w:type="dxa"/>
            <w:hideMark/>
          </w:tcPr>
          <w:p w:rsidR="00C7085E" w:rsidRDefault="00C7085E" w:rsidP="00B71B1A">
            <w:pPr>
              <w:spacing w:before="120" w:after="240" w:line="276" w:lineRule="auto"/>
              <w:ind w:right="-285"/>
              <w:rPr>
                <w:rFonts w:cs="Arial"/>
                <w:szCs w:val="22"/>
              </w:rPr>
            </w:pPr>
            <w:r>
              <w:rPr>
                <w:rFonts w:cs="Arial"/>
                <w:szCs w:val="22"/>
              </w:rPr>
              <w:t>UNE-EN 12371:</w:t>
            </w:r>
          </w:p>
        </w:tc>
        <w:tc>
          <w:tcPr>
            <w:tcW w:w="6550" w:type="dxa"/>
            <w:hideMark/>
          </w:tcPr>
          <w:p w:rsidR="00C7085E" w:rsidRDefault="00C7085E" w:rsidP="00B71B1A">
            <w:pPr>
              <w:spacing w:before="120" w:after="240" w:line="276" w:lineRule="auto"/>
              <w:ind w:right="-285"/>
              <w:rPr>
                <w:rFonts w:cs="Arial"/>
                <w:i/>
                <w:color w:val="000000"/>
                <w:szCs w:val="22"/>
              </w:rPr>
            </w:pPr>
            <w:r>
              <w:rPr>
                <w:rFonts w:cs="Arial"/>
                <w:i/>
                <w:color w:val="000000"/>
                <w:szCs w:val="22"/>
              </w:rPr>
              <w:t>Métodos de ensayo para piedra natural. Determinación de la resistencia a la heladicidad”.</w:t>
            </w:r>
          </w:p>
        </w:tc>
      </w:tr>
      <w:tr w:rsidR="00C7085E" w:rsidTr="00C7085E">
        <w:tc>
          <w:tcPr>
            <w:tcW w:w="1843" w:type="dxa"/>
            <w:hideMark/>
          </w:tcPr>
          <w:p w:rsidR="00C7085E" w:rsidRDefault="00C7085E" w:rsidP="00B71B1A">
            <w:pPr>
              <w:spacing w:before="120" w:after="240" w:line="276" w:lineRule="auto"/>
              <w:ind w:right="-285"/>
            </w:pPr>
            <w:r>
              <w:rPr>
                <w:rFonts w:cs="Arial"/>
                <w:szCs w:val="22"/>
              </w:rPr>
              <w:t>UNE-EN  1926:</w:t>
            </w:r>
          </w:p>
        </w:tc>
        <w:tc>
          <w:tcPr>
            <w:tcW w:w="6550" w:type="dxa"/>
            <w:hideMark/>
          </w:tcPr>
          <w:p w:rsidR="00C7085E" w:rsidRDefault="00C7085E" w:rsidP="00B71B1A">
            <w:pPr>
              <w:spacing w:before="120" w:after="240" w:line="276" w:lineRule="auto"/>
              <w:ind w:right="-285"/>
            </w:pPr>
            <w:r>
              <w:rPr>
                <w:rFonts w:cs="Arial"/>
                <w:i/>
                <w:color w:val="000000"/>
                <w:szCs w:val="22"/>
              </w:rPr>
              <w:t>“Métodos de ensayo para piedra natural. Determinación de la resistencia a la compresión uniaxial”.</w:t>
            </w:r>
          </w:p>
        </w:tc>
      </w:tr>
      <w:tr w:rsidR="00C7085E" w:rsidTr="00C7085E">
        <w:tc>
          <w:tcPr>
            <w:tcW w:w="1843" w:type="dxa"/>
            <w:hideMark/>
          </w:tcPr>
          <w:p w:rsidR="00C7085E" w:rsidRDefault="00C7085E" w:rsidP="00B71B1A">
            <w:pPr>
              <w:spacing w:before="120" w:after="240" w:line="276" w:lineRule="auto"/>
              <w:ind w:right="-285"/>
            </w:pPr>
            <w:r>
              <w:rPr>
                <w:rFonts w:cs="Arial"/>
                <w:szCs w:val="22"/>
              </w:rPr>
              <w:t>UNE-EN  1925:</w:t>
            </w:r>
          </w:p>
        </w:tc>
        <w:tc>
          <w:tcPr>
            <w:tcW w:w="6550" w:type="dxa"/>
            <w:hideMark/>
          </w:tcPr>
          <w:p w:rsidR="00C7085E" w:rsidRDefault="00C7085E" w:rsidP="00B71B1A">
            <w:pPr>
              <w:spacing w:before="120" w:after="240" w:line="276" w:lineRule="auto"/>
              <w:ind w:right="-285"/>
              <w:rPr>
                <w:rFonts w:cs="Arial"/>
                <w:i/>
                <w:color w:val="000000"/>
                <w:szCs w:val="22"/>
              </w:rPr>
            </w:pPr>
            <w:r>
              <w:rPr>
                <w:rFonts w:cs="Arial"/>
                <w:i/>
                <w:color w:val="000000"/>
                <w:szCs w:val="22"/>
              </w:rPr>
              <w:t>Métodos de ensayo para piedra natural. Determinación del coeficiente de absorción de agua por capilaridad”.</w:t>
            </w:r>
          </w:p>
        </w:tc>
      </w:tr>
    </w:tbl>
    <w:p w:rsidR="00C7085E" w:rsidRDefault="00C7085E" w:rsidP="00B71B1A">
      <w:pPr>
        <w:widowControl/>
        <w:numPr>
          <w:ilvl w:val="0"/>
          <w:numId w:val="13"/>
        </w:numPr>
        <w:spacing w:before="120" w:after="240" w:line="276" w:lineRule="auto"/>
        <w:ind w:right="-285"/>
        <w:rPr>
          <w:lang w:val="es-ES_tradnl" w:eastAsia="es-ES_tradnl"/>
        </w:rPr>
      </w:pPr>
      <w:r>
        <w:t>Adoquinados</w:t>
      </w:r>
    </w:p>
    <w:p w:rsidR="00C7085E" w:rsidRDefault="00C7085E" w:rsidP="00B71B1A">
      <w:pPr>
        <w:spacing w:before="120" w:after="240" w:line="276" w:lineRule="auto"/>
        <w:ind w:right="-285"/>
      </w:pPr>
      <w:r>
        <w:t>Para el control de calidad de los adoquinados de piedra natural se estará sujeto a lo establecido en las normas UNE-EN citadas para los bordillos de piedra natural.</w:t>
      </w:r>
    </w:p>
    <w:p w:rsidR="00C7085E" w:rsidRDefault="00C7085E" w:rsidP="00B71B1A">
      <w:pPr>
        <w:widowControl/>
        <w:numPr>
          <w:ilvl w:val="0"/>
          <w:numId w:val="13"/>
        </w:numPr>
        <w:spacing w:before="120" w:after="240" w:line="276" w:lineRule="auto"/>
        <w:ind w:right="-285"/>
      </w:pPr>
      <w:r>
        <w:t>Aceras</w:t>
      </w:r>
    </w:p>
    <w:p w:rsidR="00C7085E" w:rsidRDefault="00C7085E" w:rsidP="00B71B1A">
      <w:pPr>
        <w:spacing w:before="120" w:after="240" w:line="276" w:lineRule="auto"/>
        <w:ind w:right="-285"/>
      </w:pPr>
      <w:r>
        <w:t>Las baldosas que compondrán las aceras deberán estar en posesión del marcado CE. El símbolo de dicho marcado deberá figurar en los documentos comerciales de acompañamiento y/o sobre el embalaje, e ir acompañado por la información que aparece en la norma UNE-EN 1339, para baldosas de hormigón, y en la UNE-EN 1341, para baldosas de piedra caliza.</w:t>
      </w:r>
    </w:p>
    <w:p w:rsidR="00C7085E" w:rsidRDefault="00C7085E" w:rsidP="00B71B1A">
      <w:pPr>
        <w:spacing w:before="120" w:after="240" w:line="276" w:lineRule="auto"/>
        <w:ind w:right="-285"/>
      </w:pPr>
      <w:r>
        <w:rPr>
          <w:sz w:val="23"/>
          <w:szCs w:val="23"/>
        </w:rPr>
        <w:t xml:space="preserve">El adjudicatario aportará </w:t>
      </w:r>
      <w:r>
        <w:t>marca o sello de calidad que acredite el cumplimiento de las características exigidas en el Proyecto y que deberá ser aceptada por la Dirección de Obra.</w:t>
      </w:r>
    </w:p>
    <w:p w:rsidR="00C7085E" w:rsidRDefault="00C7085E" w:rsidP="00B71B1A">
      <w:pPr>
        <w:spacing w:before="120" w:after="240" w:line="276" w:lineRule="auto"/>
        <w:ind w:right="-285"/>
      </w:pPr>
      <w:r>
        <w:t>Para el control de calidad de las losas de piedra natural se estará sujeto a lo establecido en las normas UNE-EN citadas para los bordillos de piedra natural.</w:t>
      </w:r>
    </w:p>
    <w:p w:rsidR="00687E83" w:rsidRDefault="00C7085E" w:rsidP="00687E83">
      <w:pPr>
        <w:spacing w:before="120" w:after="240" w:line="276" w:lineRule="auto"/>
        <w:ind w:right="-285"/>
        <w:rPr>
          <w:sz w:val="23"/>
          <w:szCs w:val="23"/>
        </w:rPr>
      </w:pPr>
      <w:r>
        <w:rPr>
          <w:sz w:val="23"/>
          <w:szCs w:val="23"/>
        </w:rPr>
        <w:t>La superficie no deberá presentar irregularidades superiores a cinco milímetros (5 mm)</w:t>
      </w:r>
    </w:p>
    <w:p w:rsidR="0071105C" w:rsidRDefault="00C7085E" w:rsidP="00687E83">
      <w:pPr>
        <w:spacing w:before="120" w:after="240" w:line="276" w:lineRule="auto"/>
        <w:ind w:right="-285"/>
        <w:rPr>
          <w:b/>
          <w:bCs/>
          <w:szCs w:val="28"/>
        </w:rPr>
      </w:pPr>
      <w:r>
        <w:rPr>
          <w:sz w:val="23"/>
          <w:szCs w:val="23"/>
        </w:rPr>
        <w:t>.</w:t>
      </w:r>
      <w:r w:rsidR="0071105C">
        <w:br w:type="page"/>
      </w:r>
    </w:p>
    <w:p w:rsidR="00687E83" w:rsidRDefault="00687E83" w:rsidP="00687E83">
      <w:pPr>
        <w:pStyle w:val="Ttulo4"/>
        <w:keepNext w:val="0"/>
        <w:widowControl/>
        <w:suppressAutoHyphens/>
        <w:autoSpaceDE/>
        <w:autoSpaceDN/>
        <w:adjustRightInd/>
        <w:snapToGrid w:val="0"/>
        <w:spacing w:before="120" w:after="240" w:line="276" w:lineRule="auto"/>
        <w:ind w:left="720" w:right="-285"/>
      </w:pPr>
    </w:p>
    <w:p w:rsidR="00C7085E" w:rsidRDefault="00C7085E" w:rsidP="00687E83">
      <w:pPr>
        <w:pStyle w:val="Ttulo4"/>
        <w:keepNext w:val="0"/>
        <w:widowControl/>
        <w:suppressAutoHyphens/>
        <w:autoSpaceDE/>
        <w:autoSpaceDN/>
        <w:adjustRightInd/>
        <w:snapToGrid w:val="0"/>
        <w:spacing w:before="120" w:after="240" w:line="276" w:lineRule="auto"/>
        <w:ind w:left="720" w:right="-285"/>
        <w:rPr>
          <w:szCs w:val="20"/>
        </w:rPr>
      </w:pPr>
      <w:r>
        <w:t>Medición y abono</w:t>
      </w:r>
    </w:p>
    <w:p w:rsidR="00C7085E" w:rsidRDefault="00C7085E" w:rsidP="00B71B1A">
      <w:pPr>
        <w:spacing w:before="120" w:after="240" w:line="276" w:lineRule="auto"/>
        <w:ind w:right="-285"/>
      </w:pPr>
      <w:r>
        <w:t>Los bordillos se medirán por metros (m) lineales realmente colocados y se abonarán, en función del tipo, mediante la aplicación del precio que corresponda de los que figuren en el Cuadro de Precios vigente de Canal de Isabel II Gestión.</w:t>
      </w:r>
    </w:p>
    <w:p w:rsidR="00C7085E" w:rsidRDefault="00C7085E" w:rsidP="00B71B1A">
      <w:pPr>
        <w:spacing w:before="120" w:after="240" w:line="276" w:lineRule="auto"/>
        <w:ind w:right="-285"/>
      </w:pPr>
      <w:r>
        <w:t>El precio incluye el suministro de las piezas, la excavación necesaria, el mortero de asiento, el relleno de juntas, el hormigón HM-20 en solera y el correspondiente refuerzo.</w:t>
      </w:r>
    </w:p>
    <w:p w:rsidR="00C7085E" w:rsidRDefault="00C7085E" w:rsidP="00B71B1A">
      <w:pPr>
        <w:spacing w:before="120" w:after="240" w:line="276" w:lineRule="auto"/>
        <w:ind w:right="-285"/>
      </w:pPr>
      <w:r>
        <w:t>Los adoquinados se medirán por metros cuadrados (m</w:t>
      </w:r>
      <w:r>
        <w:rPr>
          <w:vertAlign w:val="superscript"/>
        </w:rPr>
        <w:t>2</w:t>
      </w:r>
      <w:r>
        <w:t>) realmente colocados y se abonarán, en función del material empleado, mediante la aplicación del precio que corresponda de los que figuren en el Cuadro de Precios vigente de Canal de Isabel II Gestión.</w:t>
      </w:r>
    </w:p>
    <w:p w:rsidR="00C7085E" w:rsidRDefault="00C7085E" w:rsidP="00B71B1A">
      <w:pPr>
        <w:spacing w:before="120" w:after="240" w:line="276" w:lineRule="auto"/>
        <w:ind w:right="-285"/>
      </w:pPr>
      <w:r>
        <w:t>El precio incluye el suministro de material, el mortero para la capa de asiento y la lechada para el relleno de juntas, salvo que figuren en el Proyecto unidades específicas para su medición y abono.</w:t>
      </w:r>
    </w:p>
    <w:p w:rsidR="00C7085E" w:rsidRDefault="00C7085E" w:rsidP="00B71B1A">
      <w:pPr>
        <w:spacing w:before="120" w:after="240" w:line="276" w:lineRule="auto"/>
        <w:ind w:right="-285"/>
      </w:pPr>
      <w:r>
        <w:t>El pavimento de baldosas se medirán por metros cuadrados (m</w:t>
      </w:r>
      <w:r>
        <w:rPr>
          <w:vertAlign w:val="superscript"/>
        </w:rPr>
        <w:t>2</w:t>
      </w:r>
      <w:r>
        <w:t xml:space="preserve">) realmente colocados </w:t>
      </w:r>
    </w:p>
    <w:p w:rsidR="00C7085E" w:rsidRDefault="00C7085E" w:rsidP="00B71B1A">
      <w:pPr>
        <w:spacing w:before="120" w:after="240" w:line="276" w:lineRule="auto"/>
        <w:ind w:right="-285"/>
      </w:pPr>
      <w:r>
        <w:t>El precio incluye el suministro de material, el mortero para la capa de asiento y la lechada para el relleno de juntas, salvo que figuren en el Proyecto unidades específicas para su medición y abono.</w:t>
      </w:r>
    </w:p>
    <w:p w:rsidR="00C7085E" w:rsidRDefault="00C7085E" w:rsidP="00B71B1A">
      <w:pPr>
        <w:spacing w:before="120" w:after="240" w:line="276" w:lineRule="auto"/>
        <w:ind w:right="-285"/>
      </w:pPr>
      <w:r>
        <w:t>Las aceras se medirán por metros cuadrados (m</w:t>
      </w:r>
      <w:r>
        <w:rPr>
          <w:vertAlign w:val="superscript"/>
        </w:rPr>
        <w:t>2</w:t>
      </w:r>
      <w:r>
        <w:t>) realmente colocados y se abonarán, en función del material empleado, mediante la aplicación del precio que corresponda de los que figuren en el Cuadro de Precios vigente de Canal de Isabel II Gestión.</w:t>
      </w:r>
    </w:p>
    <w:p w:rsidR="00C7085E" w:rsidRDefault="00C7085E" w:rsidP="00B71B1A">
      <w:pPr>
        <w:spacing w:before="120" w:after="240" w:line="276" w:lineRule="auto"/>
        <w:ind w:right="-285"/>
      </w:pPr>
      <w:r>
        <w:t>El precio incluye el todos los materiales, mano de obra y medios auxiliares necesarios para que la unidad quede totalmente terminada.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598" w:name="_Toc414021867"/>
      <w:bookmarkStart w:id="599" w:name="_Toc448741457"/>
      <w:r>
        <w:t>Riegos</w:t>
      </w:r>
      <w:bookmarkEnd w:id="598"/>
      <w:bookmarkEnd w:id="599"/>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keepNext/>
        <w:keepLines/>
        <w:spacing w:before="120" w:after="240" w:line="276" w:lineRule="auto"/>
        <w:ind w:right="-285"/>
      </w:pPr>
      <w:r>
        <w:t>Los materiales empleados como riegos de imprimación cumplirán las especificaciones establecidas en el artículo 530.2 del PG-3.</w:t>
      </w:r>
    </w:p>
    <w:p w:rsidR="00C7085E" w:rsidRDefault="00C7085E" w:rsidP="00B71B1A">
      <w:pPr>
        <w:spacing w:before="120" w:after="240" w:line="276" w:lineRule="auto"/>
        <w:ind w:right="-285"/>
      </w:pPr>
      <w:r>
        <w:t>Para los materiales utilizados en riegos de adherencia se deberán cumplir las condiciones establecidas en el artículo 531.2 del PG-3.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Los riegos de imprimación se ejecutarán con los equipos descritos en el artículo 530.4 del PG-3, siguiendo las prescripciones establecidas en su artículo 530.5. Las limitaciones de la ejecución serán las contenidas en el citado Pliego.</w:t>
      </w:r>
    </w:p>
    <w:p w:rsidR="00C7085E" w:rsidRDefault="00C7085E" w:rsidP="00B71B1A">
      <w:pPr>
        <w:spacing w:before="120" w:after="240" w:line="276" w:lineRule="auto"/>
        <w:ind w:right="-285"/>
      </w:pPr>
      <w:r>
        <w:lastRenderedPageBreak/>
        <w:t>Los riegos de adherencia se realizarán con los equipos descritos en el artículo 531.4 del PG-3, siguiendo las prescripciones establecidas en su artículo 531.5. Las limitaciones de la ejecución serán las contenidas en el citado Pliego.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keepNext/>
        <w:spacing w:before="120" w:after="240" w:line="276" w:lineRule="auto"/>
        <w:ind w:right="-285"/>
        <w:rPr>
          <w:u w:val="single"/>
        </w:rPr>
      </w:pPr>
      <w:r>
        <w:rPr>
          <w:u w:val="single"/>
        </w:rPr>
        <w:t>Control de calidad de los materiales</w:t>
      </w:r>
    </w:p>
    <w:p w:rsidR="00C7085E" w:rsidRDefault="00C7085E" w:rsidP="00B71B1A">
      <w:pPr>
        <w:spacing w:before="120" w:after="240" w:line="276" w:lineRule="auto"/>
        <w:ind w:right="-285"/>
      </w:pPr>
      <w:r>
        <w:t>Las características de los materiales se comprobarán antes de su utilización mediante la ejecución de los ensayos cuya frecuencia y tipo se señalan a continuación:</w:t>
      </w:r>
    </w:p>
    <w:p w:rsidR="00C7085E" w:rsidRDefault="00C7085E" w:rsidP="00B71B1A">
      <w:pPr>
        <w:widowControl/>
        <w:numPr>
          <w:ilvl w:val="0"/>
          <w:numId w:val="12"/>
        </w:numPr>
        <w:suppressAutoHyphens/>
        <w:spacing w:before="120" w:after="240" w:line="276" w:lineRule="auto"/>
        <w:ind w:left="714" w:right="-285" w:hanging="357"/>
      </w:pPr>
      <w:r>
        <w:t>Riegos de imprimación</w:t>
      </w:r>
    </w:p>
    <w:p w:rsidR="00C7085E" w:rsidRDefault="00C7085E" w:rsidP="00B71B1A">
      <w:pPr>
        <w:spacing w:before="120" w:after="240" w:line="276" w:lineRule="auto"/>
        <w:ind w:right="-285" w:firstLine="708"/>
        <w:rPr>
          <w:rFonts w:cs="Arial"/>
        </w:rPr>
      </w:pPr>
      <w:r>
        <w:rPr>
          <w:rFonts w:cs="Arial"/>
        </w:rPr>
        <w:t>Por cada 25 toneladas o fracción de ligante:</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contenido de agua según UNE 104281-3-2</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viscosidad Saybolt Furol según UNE 104281-3-3</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destilación según UNE-EN 1431</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penetración sobre residuo de destilación según UNE-EN 12849</w:t>
      </w:r>
    </w:p>
    <w:p w:rsidR="00C7085E" w:rsidRDefault="00C7085E" w:rsidP="00B71B1A">
      <w:pPr>
        <w:spacing w:before="120" w:after="240" w:line="276" w:lineRule="auto"/>
        <w:ind w:right="-285" w:firstLine="708"/>
        <w:rPr>
          <w:lang w:val="es-ES_tradnl"/>
        </w:rPr>
      </w:pPr>
      <w:r>
        <w:t>Por cada 50 m</w:t>
      </w:r>
      <w:r>
        <w:rPr>
          <w:vertAlign w:val="superscript"/>
        </w:rPr>
        <w:t>3</w:t>
      </w:r>
      <w:r>
        <w:t xml:space="preserve"> o fracción de árido empleado:</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granulometría por tamizado según UNE 103101</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contenido de humedad según UNE 103300</w:t>
      </w:r>
    </w:p>
    <w:p w:rsidR="00C7085E" w:rsidRDefault="00C7085E" w:rsidP="00B71B1A">
      <w:pPr>
        <w:keepNext/>
        <w:widowControl/>
        <w:numPr>
          <w:ilvl w:val="0"/>
          <w:numId w:val="13"/>
        </w:numPr>
        <w:suppressAutoHyphens/>
        <w:spacing w:before="120" w:after="240" w:line="276" w:lineRule="auto"/>
        <w:ind w:right="-285"/>
        <w:rPr>
          <w:lang w:val="es-ES_tradnl"/>
        </w:rPr>
      </w:pPr>
      <w:r>
        <w:t>Riegos de adherencia</w:t>
      </w:r>
    </w:p>
    <w:p w:rsidR="00C7085E" w:rsidRDefault="00C7085E" w:rsidP="00B71B1A">
      <w:pPr>
        <w:spacing w:before="120" w:after="240" w:line="276" w:lineRule="auto"/>
        <w:ind w:right="-285" w:firstLine="708"/>
      </w:pPr>
      <w:r>
        <w:t>Por cada 25 toneladas o fracción de ligante:</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contenido de agua según UNE 104281-3-2</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viscosidad Saybolt Furol según UNE 104281-3-3</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destilación según UNE-EN 1431</w:t>
      </w:r>
    </w:p>
    <w:p w:rsidR="00C7085E" w:rsidRDefault="00C7085E" w:rsidP="00B71B1A">
      <w:pPr>
        <w:pStyle w:val="Prrafodelista"/>
        <w:numPr>
          <w:ilvl w:val="1"/>
          <w:numId w:val="13"/>
        </w:numPr>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penetración sobre residuo de destilación según UNE-EN 12849</w:t>
      </w:r>
    </w:p>
    <w:p w:rsidR="0071105C" w:rsidRDefault="0071105C" w:rsidP="00B71B1A">
      <w:pPr>
        <w:widowControl/>
        <w:autoSpaceDE/>
        <w:autoSpaceDN/>
        <w:adjustRightInd/>
        <w:spacing w:line="276" w:lineRule="auto"/>
        <w:ind w:right="-285"/>
        <w:jc w:val="left"/>
        <w:rPr>
          <w:u w:val="single"/>
        </w:rPr>
      </w:pPr>
    </w:p>
    <w:p w:rsidR="00C7085E" w:rsidRDefault="00C7085E" w:rsidP="00B71B1A">
      <w:pPr>
        <w:spacing w:before="120" w:after="240" w:line="276" w:lineRule="auto"/>
        <w:ind w:right="-285"/>
        <w:rPr>
          <w:u w:val="single"/>
          <w:lang w:val="es-ES_tradnl"/>
        </w:rPr>
      </w:pPr>
      <w:r>
        <w:rPr>
          <w:u w:val="single"/>
        </w:rPr>
        <w:t>Control de la ejecución:</w:t>
      </w:r>
    </w:p>
    <w:p w:rsidR="00C7085E" w:rsidRDefault="00C7085E" w:rsidP="00B71B1A">
      <w:pPr>
        <w:widowControl/>
        <w:numPr>
          <w:ilvl w:val="0"/>
          <w:numId w:val="12"/>
        </w:numPr>
        <w:spacing w:before="120" w:after="240" w:line="276" w:lineRule="auto"/>
        <w:ind w:left="714" w:right="-285" w:hanging="357"/>
      </w:pPr>
      <w:r>
        <w:t>Riegos de imprimación y riegos de adherencia</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Control de la temperatura del ligante</w:t>
      </w:r>
    </w:p>
    <w:p w:rsidR="00C7085E" w:rsidRDefault="00C7085E" w:rsidP="00B71B1A">
      <w:pPr>
        <w:keepNext/>
        <w:spacing w:before="120" w:after="240" w:line="276" w:lineRule="auto"/>
        <w:ind w:right="-285"/>
        <w:rPr>
          <w:u w:val="single"/>
          <w:lang w:val="es-ES_tradnl"/>
        </w:rPr>
      </w:pPr>
      <w:r>
        <w:rPr>
          <w:u w:val="single"/>
        </w:rPr>
        <w:t>Tolerancias</w:t>
      </w:r>
    </w:p>
    <w:p w:rsidR="00687E83" w:rsidRDefault="00C7085E" w:rsidP="00B71B1A">
      <w:pPr>
        <w:spacing w:before="120" w:after="240" w:line="276" w:lineRule="auto"/>
        <w:ind w:right="-285"/>
      </w:pPr>
      <w:r>
        <w:t>La dotación media, tanto del ligante residual como, en su caso, de los áridos no deberá diferir de la prevista en más de un quince por ciento (15%). No más de un (1) individuo de la muestra ensayada podrá presentar resultados que excedan de los límites fijados.</w:t>
      </w:r>
    </w:p>
    <w:p w:rsidR="00687E83" w:rsidRDefault="00687E83">
      <w:pPr>
        <w:widowControl/>
        <w:autoSpaceDE/>
        <w:autoSpaceDN/>
        <w:adjustRightInd/>
        <w:spacing w:line="240" w:lineRule="auto"/>
        <w:jc w:val="left"/>
      </w:pPr>
      <w:r>
        <w:br w:type="page"/>
      </w:r>
    </w:p>
    <w:p w:rsidR="00C7085E" w:rsidRDefault="00C7085E" w:rsidP="00B71B1A">
      <w:pPr>
        <w:spacing w:before="120" w:after="240" w:line="276" w:lineRule="auto"/>
        <w:ind w:right="-285"/>
      </w:pP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riegos de imprimación y adherencia se medirán por metros cuadrados (m</w:t>
      </w:r>
      <w:r>
        <w:rPr>
          <w:vertAlign w:val="superscript"/>
        </w:rPr>
        <w:t>2</w:t>
      </w:r>
      <w:r>
        <w:t>) de superficie realmente ejecutada y se abonarán de acuerdo al precio que corresponda de los que figuren en el Cuadro de Precios vigente de Canal de Isabel II Gestión.</w:t>
      </w:r>
    </w:p>
    <w:p w:rsidR="00C7085E" w:rsidRDefault="00C7085E" w:rsidP="00B71B1A">
      <w:pPr>
        <w:spacing w:before="120" w:after="240" w:line="276" w:lineRule="auto"/>
        <w:ind w:right="-285"/>
      </w:pPr>
      <w:r>
        <w:t>En los precios se considera incluido el barrido y la preparación de la superficie subyacente.</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00" w:name="_Toc414021868"/>
      <w:bookmarkStart w:id="601" w:name="_Toc448741458"/>
      <w:r>
        <w:t>Mezclas bituminosas</w:t>
      </w:r>
      <w:bookmarkEnd w:id="600"/>
      <w:bookmarkEnd w:id="601"/>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Los materiales empleados en la fabricación de mezclas bituminosas en caliente tipo hormigón bituminoso deberán cumplir las condiciones establecidas en el artículo 542.2 del PG-3.</w:t>
      </w:r>
    </w:p>
    <w:p w:rsidR="00C7085E" w:rsidRDefault="00C7085E" w:rsidP="00B71B1A">
      <w:pPr>
        <w:spacing w:before="120" w:after="240" w:line="276" w:lineRule="auto"/>
        <w:ind w:right="-285"/>
      </w:pPr>
      <w:r>
        <w:t>Los materiales empleados en la fabricación de mezclas bituminosas para capas de rodadura deberán cumplir las condiciones establecidas en el artículo 543.2 del PG-3.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Las mezclas bituminosas en caliente tipo hormigón bituminoso se ejecutarán con los equipos descritos en el artículo 542.4 del PG-3, siguiendo las prescripciones establecidas en su artículo 542.5. Las limitaciones de la ejecución serán las contenidas en el citado Pliego.</w:t>
      </w:r>
    </w:p>
    <w:p w:rsidR="00C7085E" w:rsidRDefault="00C7085E" w:rsidP="00B71B1A">
      <w:pPr>
        <w:spacing w:before="120" w:after="240" w:line="276" w:lineRule="auto"/>
        <w:ind w:right="-285"/>
      </w:pPr>
      <w:r>
        <w:t>Las mezclas bituminosas para capas de rodadura se realizarán con los equipos descritos en el artículo 543.4 del PG-3, siguiendo las prescripciones establecidas en su artículo 543.5. Las limitaciones de la ejecución serán las contenidas en el citado Pliego.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Se deberán cumplir las especificaciones recogidas en los artículos 542.9 y 542.10 del PG-3 para las mezclas bituminosas en caliente tipo hormigón bituminoso y para las mezclas bituminosas para capas de rodadura, las fijadas en los artículos 543.9 y 543.10 del citado Pliego.</w:t>
      </w:r>
    </w:p>
    <w:p w:rsidR="00C7085E" w:rsidRDefault="00C7085E" w:rsidP="00B71B1A">
      <w:pPr>
        <w:spacing w:before="120" w:after="240" w:line="276" w:lineRule="auto"/>
        <w:ind w:right="-285"/>
        <w:rPr>
          <w:u w:val="single"/>
        </w:rPr>
      </w:pPr>
      <w:r>
        <w:rPr>
          <w:u w:val="single"/>
        </w:rPr>
        <w:t>Control de calidad de los materiales</w:t>
      </w:r>
    </w:p>
    <w:p w:rsidR="00C7085E" w:rsidRDefault="00C7085E" w:rsidP="00B71B1A">
      <w:pPr>
        <w:spacing w:before="120" w:after="240" w:line="276" w:lineRule="auto"/>
        <w:ind w:right="-285"/>
      </w:pPr>
      <w:r>
        <w:t>Las características de los materiales se comprobarán antes de su utilización mediante la ejecución de los ensayos cuya frecuencia y tipo se señalan a continuación:</w:t>
      </w:r>
    </w:p>
    <w:p w:rsidR="00C7085E" w:rsidRDefault="00C7085E" w:rsidP="00B71B1A">
      <w:pPr>
        <w:spacing w:before="120" w:after="240" w:line="276" w:lineRule="auto"/>
        <w:ind w:right="-285" w:firstLine="708"/>
      </w:pPr>
      <w:r>
        <w:t>Por cada 500 m</w:t>
      </w:r>
      <w:r>
        <w:rPr>
          <w:vertAlign w:val="superscript"/>
        </w:rPr>
        <w:t>3</w:t>
      </w:r>
      <w:r>
        <w:t xml:space="preserve"> o fracción de árido grueso empleado:</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3  granulometría por tamizado según UNE 103101</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resistencia al desgaste según UNE 1097-2</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pulimento acelerado según UNE 1097-8</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adherencia según UNE 7074</w:t>
      </w:r>
    </w:p>
    <w:p w:rsidR="00C7085E" w:rsidRDefault="00C7085E" w:rsidP="00B71B1A">
      <w:pPr>
        <w:keepNext/>
        <w:keepLines/>
        <w:spacing w:before="120" w:after="240" w:line="276" w:lineRule="auto"/>
        <w:ind w:right="-285" w:firstLine="708"/>
        <w:rPr>
          <w:lang w:val="es-ES_tradnl"/>
        </w:rPr>
      </w:pPr>
      <w:r>
        <w:lastRenderedPageBreak/>
        <w:t>Por cada 500 m</w:t>
      </w:r>
      <w:r>
        <w:rPr>
          <w:vertAlign w:val="superscript"/>
        </w:rPr>
        <w:t>3</w:t>
      </w:r>
      <w:r>
        <w:t xml:space="preserve"> o fracción de árido fino empleado:</w:t>
      </w:r>
    </w:p>
    <w:p w:rsidR="00C7085E" w:rsidRDefault="00C7085E" w:rsidP="00B71B1A">
      <w:pPr>
        <w:pStyle w:val="Prrafodelista"/>
        <w:keepNext/>
        <w:keepLines/>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Igual que el árido grueso</w:t>
      </w:r>
    </w:p>
    <w:p w:rsidR="00C7085E" w:rsidRDefault="00C7085E" w:rsidP="00B71B1A">
      <w:pPr>
        <w:spacing w:before="120" w:after="240" w:line="276" w:lineRule="auto"/>
        <w:ind w:right="-285" w:firstLine="708"/>
        <w:rPr>
          <w:lang w:val="es-ES_tradnl"/>
        </w:rPr>
      </w:pPr>
      <w:r>
        <w:t>Por cada 100 m</w:t>
      </w:r>
      <w:r>
        <w:rPr>
          <w:vertAlign w:val="superscript"/>
        </w:rPr>
        <w:t>3</w:t>
      </w:r>
      <w:r>
        <w:t xml:space="preserve"> o fracción de filler:</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granulometría por tamizado según UNE 103101</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densidad aparente según UNE-EN 1097-7</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coeficiente de emulsibilidad según NLT-180/74</w:t>
      </w:r>
    </w:p>
    <w:p w:rsidR="00C7085E" w:rsidRDefault="00C7085E" w:rsidP="00B71B1A">
      <w:pPr>
        <w:spacing w:before="120" w:after="240" w:line="276" w:lineRule="auto"/>
        <w:ind w:right="-285" w:firstLine="708"/>
        <w:rPr>
          <w:lang w:val="es-ES_tradnl"/>
        </w:rPr>
      </w:pPr>
      <w:r>
        <w:t>Por cada 500 m</w:t>
      </w:r>
      <w:r>
        <w:rPr>
          <w:vertAlign w:val="superscript"/>
        </w:rPr>
        <w:t>3</w:t>
      </w:r>
      <w:r>
        <w:t xml:space="preserve"> de mezcla de áridos:</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equivalente de arena según UNE 103109</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granulometría por tamizado según UNE 103101</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2 temperatura de áridos y ligante a la entrada y salida del mezclador</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Por cada 50 toneladas de betún asfáltico:</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contenido de agua según UNE 104281-3-2</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penetración según UNE-EN 12849</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ductilidad según UNE-EN 13589</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1  solubilidad en tricloroetileno según UNE-EN 12592</w:t>
      </w:r>
    </w:p>
    <w:p w:rsidR="00C7085E" w:rsidRDefault="00C7085E" w:rsidP="00B71B1A">
      <w:pPr>
        <w:spacing w:before="120" w:after="240" w:line="276" w:lineRule="auto"/>
        <w:ind w:right="-285"/>
        <w:rPr>
          <w:u w:val="single"/>
          <w:lang w:val="es-ES_tradnl"/>
        </w:rPr>
      </w:pPr>
      <w:r>
        <w:rPr>
          <w:u w:val="single"/>
        </w:rPr>
        <w:t>Control de la ejecución:</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Por cada 1000 m3 de mezcla:</w:t>
      </w:r>
    </w:p>
    <w:p w:rsidR="00C7085E" w:rsidRDefault="00C7085E" w:rsidP="00B71B1A">
      <w:pPr>
        <w:pStyle w:val="Prrafodelista"/>
        <w:numPr>
          <w:ilvl w:val="1"/>
          <w:numId w:val="13"/>
        </w:numPr>
        <w:suppressAutoHyphens w:val="0"/>
        <w:autoSpaceDE w:val="0"/>
        <w:autoSpaceDN w:val="0"/>
        <w:adjustRightInd w:val="0"/>
        <w:spacing w:before="120" w:after="240"/>
        <w:ind w:left="1434" w:right="-285" w:hanging="357"/>
        <w:rPr>
          <w:rFonts w:ascii="Arial" w:hAnsi="Arial" w:cs="Arial"/>
          <w:lang w:val="es-ES_tradnl"/>
        </w:rPr>
      </w:pPr>
      <w:r>
        <w:rPr>
          <w:rFonts w:ascii="Arial" w:hAnsi="Arial" w:cs="Arial"/>
          <w:lang w:val="es-ES_tradnl"/>
        </w:rPr>
        <w:t>6 ensayos de resistencia y densidad sobre probetas fabricadas según método Marshall UNE-EN 12697.</w:t>
      </w:r>
    </w:p>
    <w:p w:rsidR="00C7085E" w:rsidRDefault="00C7085E" w:rsidP="00B71B1A">
      <w:pPr>
        <w:spacing w:before="120" w:after="240" w:line="276" w:lineRule="auto"/>
        <w:ind w:right="-285"/>
        <w:rPr>
          <w:u w:val="single"/>
          <w:lang w:val="es-ES_tradnl"/>
        </w:rPr>
      </w:pPr>
      <w:r>
        <w:rPr>
          <w:u w:val="single"/>
        </w:rPr>
        <w:t>Tolerancias</w:t>
      </w:r>
    </w:p>
    <w:p w:rsidR="00C7085E" w:rsidRDefault="00C7085E" w:rsidP="00B71B1A">
      <w:pPr>
        <w:spacing w:before="120" w:after="240" w:line="276" w:lineRule="auto"/>
        <w:ind w:right="-285"/>
      </w:pPr>
      <w:r>
        <w:t>Las tolerancias admitidas serán las especificadas en los artículos 542.7 y 543.7 del PG-3 para las mezclas bituminosas en caliente tipo hormigón bituminoso y para las mezclas bituminosas para capas de rodadura, respectivamente.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 fabricación y puesta en obra de las mezclas bituminosas se abonarán por toneladas (t), según su tipo, medidas multiplicando las anchuras señaladas para cada capa en los planos de Proyecto, por los espesores medios y densidades medias deducidas de los ensayos de control de cada lote.</w:t>
      </w:r>
    </w:p>
    <w:p w:rsidR="00C7085E" w:rsidRDefault="00C7085E" w:rsidP="00B71B1A">
      <w:pPr>
        <w:spacing w:before="120" w:after="240" w:line="276" w:lineRule="auto"/>
        <w:ind w:right="-285"/>
      </w:pPr>
      <w:r>
        <w:t>El abono se realizará mediante la aplicación, en función del tipo de mezcla, del precio correspondiente de los que figuren en el Cuadro de Precios vigente de Canal de Isabel II Gestión.</w:t>
      </w:r>
    </w:p>
    <w:p w:rsidR="00C7085E" w:rsidRDefault="00C7085E" w:rsidP="00B71B1A">
      <w:pPr>
        <w:spacing w:before="120" w:after="240" w:line="276" w:lineRule="auto"/>
        <w:ind w:right="-285"/>
      </w:pPr>
      <w:r>
        <w:t>En dicho abono se considerará incluida la fabricación, el transporte, el extendido, la compactación, el betún y el filler de aportación.</w:t>
      </w:r>
    </w:p>
    <w:p w:rsidR="0032619C" w:rsidRDefault="0032619C"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02" w:name="_Toc414021869"/>
      <w:bookmarkStart w:id="603" w:name="_Toc448741459"/>
      <w:r>
        <w:lastRenderedPageBreak/>
        <w:t>Hormigón en firmes</w:t>
      </w:r>
      <w:bookmarkEnd w:id="602"/>
      <w:bookmarkEnd w:id="603"/>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Los materiales empleados en pavimentos de losas de hormigón en masa cumplirán las prescripciones que figuran en el artículo 550.2 del Pliego de Prescripciones Técnicas Generales para Obras de Carreteras y Puentes (PG-3).</w:t>
      </w:r>
    </w:p>
    <w:p w:rsidR="00C7085E" w:rsidRDefault="00C7085E" w:rsidP="00B71B1A">
      <w:pPr>
        <w:spacing w:before="120" w:after="240" w:line="276" w:lineRule="auto"/>
        <w:ind w:right="-285"/>
      </w:pPr>
      <w:r>
        <w:t xml:space="preserve">La resistencia característica del hormigón en este tipo de pavimentos será como mínimo de treinta y cinco </w:t>
      </w:r>
      <w:proofErr w:type="gramStart"/>
      <w:r>
        <w:t>newton</w:t>
      </w:r>
      <w:proofErr w:type="gramEnd"/>
      <w:r>
        <w:t xml:space="preserve"> por milímetro cuadrado (35 N/mm</w:t>
      </w:r>
      <w:r>
        <w:rPr>
          <w:vertAlign w:val="superscript"/>
        </w:rPr>
        <w:t>2</w:t>
      </w:r>
      <w:r>
        <w:t>)</w:t>
      </w:r>
      <w:r>
        <w:rPr>
          <w:vertAlign w:val="superscript"/>
        </w:rPr>
        <w:t xml:space="preserve"> </w:t>
      </w:r>
      <w:r>
        <w:t>y el tamaño máximo del árido empleado será cuarenta milímetros (40 mm).</w:t>
      </w:r>
    </w:p>
    <w:p w:rsidR="00C7085E" w:rsidRDefault="00C7085E" w:rsidP="00B71B1A">
      <w:pPr>
        <w:spacing w:before="120" w:after="240" w:line="276" w:lineRule="auto"/>
        <w:ind w:right="-285"/>
      </w:pPr>
      <w:r>
        <w:t>Los hormigones hidráulicos para bases serán hormigones en masa de resistencia característica igual a veinte newton por milímetro cuadrado (20 N/mm</w:t>
      </w:r>
      <w:r>
        <w:rPr>
          <w:vertAlign w:val="superscript"/>
        </w:rPr>
        <w:t>2</w:t>
      </w:r>
      <w:r>
        <w:t xml:space="preserve">), tamaño máximo del árido empleado cuarenta milímetros (40 mm) y consistencia plástica. Para su empleo en pavimentos de aparcamiento en superficie, aceras, pistas deportivas, paseos y escaleras, la resistencia característica del hormigón será de quince </w:t>
      </w:r>
      <w:proofErr w:type="gramStart"/>
      <w:r>
        <w:t>newton</w:t>
      </w:r>
      <w:proofErr w:type="gramEnd"/>
      <w:r>
        <w:t xml:space="preserve"> por milímetro cuadrado (15 N/mm</w:t>
      </w:r>
      <w:r>
        <w:rPr>
          <w:vertAlign w:val="superscript"/>
        </w:rPr>
        <w:t>2</w:t>
      </w:r>
      <w:r>
        <w:t>).</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Los pavimentos de losas de hormigón en masa se ejecutarán de acuerdo con lo especificado en el artículo 550.5 del PG-3, con las limitaciones establecidas en el artículo 550.8 del mismo documento.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los materiales</w:t>
      </w:r>
    </w:p>
    <w:p w:rsidR="00C7085E" w:rsidRDefault="00C7085E" w:rsidP="00B71B1A">
      <w:pPr>
        <w:spacing w:before="120" w:after="240" w:line="276" w:lineRule="auto"/>
        <w:ind w:right="-285"/>
      </w:pPr>
      <w:r>
        <w:t>Las características de los materiales de los pavimentos de losas de hormigón en masa se comprobarán antes de su utilización mediante la ejecución de ensayos, cuya frecuencia y tipo serán los recogidos en los artículos 550.9.1 y 550.9.2 del PG-3.</w:t>
      </w:r>
    </w:p>
    <w:p w:rsidR="00C7085E" w:rsidRDefault="00C7085E" w:rsidP="00B71B1A">
      <w:pPr>
        <w:keepNext/>
        <w:keepLines/>
        <w:spacing w:before="120" w:after="240" w:line="276" w:lineRule="auto"/>
        <w:ind w:right="-285"/>
        <w:rPr>
          <w:u w:val="single"/>
        </w:rPr>
      </w:pPr>
      <w:r>
        <w:rPr>
          <w:u w:val="single"/>
        </w:rPr>
        <w:t>Control de calidad de la ejecución</w:t>
      </w:r>
    </w:p>
    <w:p w:rsidR="00C7085E" w:rsidRDefault="00C7085E" w:rsidP="00B71B1A">
      <w:pPr>
        <w:keepNext/>
        <w:keepLines/>
        <w:spacing w:before="120" w:after="240" w:line="276" w:lineRule="auto"/>
        <w:ind w:right="-285"/>
      </w:pPr>
      <w:r>
        <w:t>La ejecución de los pavimentos de losas de hormigón en masa se controlará mediante la realización de ensayos, cuya frecuencia y tipo serán los recogidos en el artículo 550.9.3 del PG-3.</w:t>
      </w:r>
    </w:p>
    <w:p w:rsidR="00C7085E" w:rsidRDefault="00C7085E" w:rsidP="00B71B1A">
      <w:pPr>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t>Los criterios de aceptación o rechazo de la superficie terminada, así como los valores de las tolerancias admitidas, serán los establecidos en el artículo 550.10 del PG-3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pavimentos de losas de hormigón en masa se medirán por metros cúbicos (m</w:t>
      </w:r>
      <w:r>
        <w:rPr>
          <w:vertAlign w:val="superscript"/>
        </w:rPr>
        <w:t>3</w:t>
      </w:r>
      <w:r>
        <w:t>) y se abonarán al precio que corresponda, en función de la resistencia característica del hormigón empleado, de los que figuren en el Cuadro de Precios vigente de Canal de Isabel II Gestión.</w:t>
      </w:r>
    </w:p>
    <w:p w:rsidR="00C7085E" w:rsidRDefault="00C7085E" w:rsidP="00B71B1A">
      <w:pPr>
        <w:spacing w:before="120" w:after="240" w:line="276" w:lineRule="auto"/>
        <w:ind w:right="-285"/>
      </w:pPr>
      <w:r>
        <w:lastRenderedPageBreak/>
        <w:t>En el precio de la unidad se considera incluido la parte proporcional de encofrado, el vibrado, el acabado con textura superficial ranurada, la pulverización de producto filmógeno de curado sobre la superficie terminada y las juntas necesarias.</w:t>
      </w:r>
    </w:p>
    <w:p w:rsidR="00C7085E" w:rsidRDefault="00C7085E" w:rsidP="00B71B1A">
      <w:pPr>
        <w:spacing w:before="120" w:after="240" w:line="276" w:lineRule="auto"/>
        <w:ind w:right="-285"/>
      </w:pPr>
      <w:r>
        <w:t>Los hormigones hidráulicos, ya sea en bases o en pavimentos, se medirán por metros cúbicos (m</w:t>
      </w:r>
      <w:r>
        <w:rPr>
          <w:vertAlign w:val="superscript"/>
        </w:rPr>
        <w:t>3</w:t>
      </w:r>
      <w:r>
        <w:t>) y se abonarán al precio que corresponda, en función del tipo de capa y del hormigón empleado, de los que figuren en el Cuadro de Precios vigente de Canal de Isabel II Gestión.</w:t>
      </w:r>
    </w:p>
    <w:p w:rsidR="00C7085E" w:rsidRDefault="00C7085E" w:rsidP="00B71B1A">
      <w:pPr>
        <w:spacing w:before="120" w:after="240" w:line="276" w:lineRule="auto"/>
        <w:ind w:right="-285"/>
      </w:pPr>
      <w:r>
        <w:t>En el precio de la unidad se considera incluido el suministro y puesta en obra del hormigón, así como el vibrado y moldeado si es requerido.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04" w:name="_Toc414021870"/>
      <w:bookmarkStart w:id="605" w:name="_Toc448741460"/>
      <w:r>
        <w:t>Drenes subterráneos</w:t>
      </w:r>
      <w:bookmarkEnd w:id="604"/>
      <w:bookmarkEnd w:id="605"/>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El material drenante y los tubos a utilizar en los drenes subterráneos cumplirán las especificaciones que para los mismos figuran en el artículo 420.2 del Pliego de Prescripciones Técnicas Generales para Obras de Carreteras y Puentes (PG-3)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Para la ejecución de los drenes subterráneos se estará a lo dispuesto en el artículo 420.3 del Pliego de Prescripciones Técnicas Generales para Obras de Carreteras y Puentes (PG-3)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El material drenante se medirá por metro cúbico (m</w:t>
      </w:r>
      <w:r>
        <w:rPr>
          <w:vertAlign w:val="superscript"/>
        </w:rPr>
        <w:t>3</w:t>
      </w:r>
      <w:r>
        <w:t>) medido sobre perfil y se abonará al precio correspondiente de los que figuren en el Cuadro de Precios vigente de Canal de Isabel II Gestión.</w:t>
      </w:r>
    </w:p>
    <w:p w:rsidR="00C7085E" w:rsidRDefault="00C7085E" w:rsidP="00B71B1A">
      <w:pPr>
        <w:spacing w:before="120" w:after="240" w:line="276" w:lineRule="auto"/>
        <w:ind w:right="-285"/>
      </w:pPr>
      <w:r>
        <w:t>En el precio se incluye el suministro, la extensión y la compactación del material, así como su colocación en zanjas o superficies para drenaje en capas de veinte centímetros (20 cm) de espesor.</w:t>
      </w:r>
    </w:p>
    <w:p w:rsidR="00C7085E" w:rsidRDefault="00C7085E" w:rsidP="00B71B1A">
      <w:pPr>
        <w:spacing w:before="120" w:after="240" w:line="276" w:lineRule="auto"/>
        <w:ind w:right="-285"/>
      </w:pPr>
      <w:r>
        <w:t>Los tubos se medirán por metro (m) realmente colocado y se abonarán mediante la aplicación del precio que corresponda, de los que figuren en el Cuadro de Precios vigente de Canal de Isabel II Gestión.</w:t>
      </w:r>
    </w:p>
    <w:p w:rsidR="00687E83" w:rsidRDefault="00C7085E" w:rsidP="00687E83">
      <w:pPr>
        <w:spacing w:before="120" w:after="240" w:line="276" w:lineRule="auto"/>
        <w:ind w:right="-285"/>
      </w:pPr>
      <w:r>
        <w:t>En este precio se incluye el suministro y la colocación del tubo.</w:t>
      </w:r>
      <w:bookmarkStart w:id="606" w:name="_Toc414021871"/>
    </w:p>
    <w:p w:rsidR="0071105C" w:rsidRDefault="0071105C" w:rsidP="00687E83">
      <w:pPr>
        <w:spacing w:before="120" w:after="240" w:line="276" w:lineRule="auto"/>
        <w:ind w:right="-285"/>
        <w:rPr>
          <w:rFonts w:ascii="Arial Negrita" w:hAnsi="Arial Negrita"/>
          <w:b/>
          <w:snapToGrid w:val="0"/>
        </w:rPr>
      </w:pPr>
      <w:r>
        <w:br w:type="page"/>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07" w:name="_Toc448741461"/>
      <w:r>
        <w:lastRenderedPageBreak/>
        <w:t>Cunetas</w:t>
      </w:r>
      <w:bookmarkEnd w:id="606"/>
      <w:bookmarkEnd w:id="607"/>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keepNext/>
        <w:keepLines/>
        <w:spacing w:before="120" w:after="240" w:line="276" w:lineRule="auto"/>
        <w:ind w:right="-285"/>
      </w:pPr>
      <w:r>
        <w:t>El hormigón utilizado en las cunetas ejecutadas en obra deberá cumplir con las especificaciones de la Instrucción de Hormigón Estructural (EHE) y de la Instrucción para la Recepción de Cementos (RC-08).</w:t>
      </w:r>
    </w:p>
    <w:p w:rsidR="00C7085E" w:rsidRDefault="00C7085E" w:rsidP="00B71B1A">
      <w:pPr>
        <w:spacing w:before="120" w:after="240" w:line="276" w:lineRule="auto"/>
        <w:ind w:right="-285"/>
      </w:pPr>
      <w:r>
        <w:t>La resistencia característica a compresión del hormigón a utilizar no será inferior a veinte Newton por milímetro cuadrado (20 N/mm</w:t>
      </w:r>
      <w:r>
        <w:rPr>
          <w:vertAlign w:val="superscript"/>
        </w:rPr>
        <w:t>2</w:t>
      </w:r>
      <w:r>
        <w:t>).</w:t>
      </w:r>
    </w:p>
    <w:p w:rsidR="00C7085E" w:rsidRDefault="00C7085E" w:rsidP="00B71B1A">
      <w:pPr>
        <w:spacing w:before="120" w:after="240" w:line="276" w:lineRule="auto"/>
        <w:ind w:right="-285"/>
      </w:pPr>
      <w:r>
        <w:t>Los materiales empleados en las cunetas prefabricadas deberán cumplir las especificaciones establecidas en el artículo 401.2 del Pliego de Prescripciones Técnicas Generales para Obras de Carreteras y Puentes (PG-3).</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keepNext/>
        <w:spacing w:before="120" w:after="240" w:line="276" w:lineRule="auto"/>
        <w:ind w:right="-285"/>
      </w:pPr>
      <w:r>
        <w:t>Las cunetas se medirán por metro (m) realmente ejecutado, medido sobre el terreno y se abonarán mediante la aplicación del precio correspondiente del Cuadro de Precios vigente de Canal de Isabel II Gestión.</w:t>
      </w:r>
    </w:p>
    <w:p w:rsidR="00C7085E" w:rsidRDefault="00C7085E" w:rsidP="00B71B1A">
      <w:pPr>
        <w:spacing w:before="120" w:after="240" w:line="276" w:lineRule="auto"/>
        <w:ind w:right="-285"/>
      </w:pPr>
      <w:r>
        <w:t>En el precio se considera incluida la excavación, el refino, el lecho de apoyo, el revestimiento de hormigón o las piezas prefabricadas, en su caso, las juntas y todos los elementos y labores necesarios para su correcta ejecución y funcionamiento.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08" w:name="_Toc414021872"/>
      <w:bookmarkStart w:id="609" w:name="_Toc448741462"/>
      <w:r>
        <w:t>Señalización</w:t>
      </w:r>
      <w:bookmarkEnd w:id="608"/>
      <w:bookmarkEnd w:id="609"/>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En la aplicación de las marcas viales se utilizarán pinturas termoplásticas de aplicación en caliente cuyas características deberán cumplir las especificaciones establecidas en el artículo 700.3 del PG-3</w:t>
      </w:r>
    </w:p>
    <w:p w:rsidR="00C7085E" w:rsidRDefault="00C7085E" w:rsidP="00B71B1A">
      <w:pPr>
        <w:spacing w:before="120" w:after="240" w:line="276" w:lineRule="auto"/>
        <w:ind w:right="-285"/>
      </w:pPr>
      <w:r>
        <w:t>Las señales y carteles verticales de circulación deberán cumplir las especificaciones establecidas en el artículo 701.3 del PG-3.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Ejecución </w:t>
      </w:r>
    </w:p>
    <w:p w:rsidR="00C7085E" w:rsidRDefault="00C7085E" w:rsidP="00B71B1A">
      <w:pPr>
        <w:spacing w:before="120" w:after="240" w:line="276" w:lineRule="auto"/>
        <w:ind w:right="-285"/>
      </w:pPr>
      <w:r>
        <w:t>Las marcas viales se ejecutarán siguiendo las prescripciones establecidas en el artículo 700.6. Las limitaciones de la ejecución serán las contenidas en el citado artículo.</w:t>
      </w:r>
    </w:p>
    <w:p w:rsidR="00C7085E" w:rsidRDefault="00C7085E" w:rsidP="00B71B1A">
      <w:pPr>
        <w:spacing w:before="120" w:after="240" w:line="276" w:lineRule="auto"/>
        <w:ind w:right="-285"/>
      </w:pPr>
      <w:r>
        <w:t>Para la colocación de las señales y carteles verticales de circulación se cumplirán las especificaciones establecidas en el artículo 701.6 del PG-3.</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Será de aplicación las prescripciones establecidas en el artículo 700.7 del PG-3 para las marcas viales y para las señales y carteles las fijadas en el artículo 701.7.</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Medición y abono</w:t>
      </w:r>
    </w:p>
    <w:p w:rsidR="00C7085E" w:rsidRDefault="00C7085E" w:rsidP="00B71B1A">
      <w:pPr>
        <w:spacing w:before="120" w:after="240" w:line="276" w:lineRule="auto"/>
        <w:ind w:right="-285"/>
      </w:pPr>
      <w:r>
        <w:t xml:space="preserve">Las marcas viales longitudinales se abonarán por metros (m) realmente aplicados, medidos por el eje de las mismas sobre el pavimento. </w:t>
      </w:r>
    </w:p>
    <w:p w:rsidR="00C7085E" w:rsidRDefault="00C7085E" w:rsidP="00B71B1A">
      <w:pPr>
        <w:spacing w:before="120" w:after="240" w:line="276" w:lineRule="auto"/>
        <w:ind w:right="-285"/>
      </w:pPr>
      <w:r>
        <w:t>El abono se realizará mediante la aplicación, en función del ancho de la marca vial, del precio correspondiente de los que figuren en el Cuadro de Precios vigente de Canal de Isabel II Gestión.</w:t>
      </w:r>
    </w:p>
    <w:p w:rsidR="00C7085E" w:rsidRDefault="00C7085E" w:rsidP="00B71B1A">
      <w:pPr>
        <w:spacing w:before="120" w:after="240" w:line="276" w:lineRule="auto"/>
        <w:ind w:right="-285"/>
      </w:pPr>
      <w:r>
        <w:t>Las marcas viales para estarcido sobre pavimento se abonarán por metros cuadrados (m</w:t>
      </w:r>
      <w:r>
        <w:rPr>
          <w:vertAlign w:val="superscript"/>
        </w:rPr>
        <w:t>2</w:t>
      </w:r>
      <w:r>
        <w:t>) realmente ejecutados medidos sobre el pavimento, mediante la aplicación del precio que figure en el Cuadro de Precios vigente de Canal de Isabel II Gestión.</w:t>
      </w:r>
    </w:p>
    <w:p w:rsidR="00C7085E" w:rsidRDefault="00C7085E" w:rsidP="00B71B1A">
      <w:pPr>
        <w:spacing w:before="120" w:after="240" w:line="276" w:lineRule="auto"/>
        <w:ind w:right="-285"/>
      </w:pPr>
      <w:r>
        <w:t>No serán de abono las operaciones necesarias para la preparación de la superficie de aplicación y el replanteo, que irán incluidas en el abono de la marca vial aplicada.</w:t>
      </w:r>
    </w:p>
    <w:p w:rsidR="00C7085E" w:rsidRDefault="00C7085E" w:rsidP="00B71B1A">
      <w:pPr>
        <w:spacing w:before="120" w:after="240" w:line="276" w:lineRule="auto"/>
        <w:ind w:right="-285"/>
      </w:pPr>
      <w:r>
        <w:t>La eliminación de las marcas viales se abonará por metros cuadrados (m</w:t>
      </w:r>
      <w:r>
        <w:rPr>
          <w:vertAlign w:val="superscript"/>
        </w:rPr>
        <w:t>2</w:t>
      </w:r>
      <w:r>
        <w:t>) realmente ejecutados medidos sobre el pavimento, mediante la aplicación de los precios que figuren en el Cuadro de Precios vigente de Canal de Isabel II Gestión.</w:t>
      </w:r>
    </w:p>
    <w:p w:rsidR="00C7085E" w:rsidRDefault="00C7085E" w:rsidP="00B71B1A">
      <w:pPr>
        <w:spacing w:before="120" w:after="240" w:line="276" w:lineRule="auto"/>
        <w:ind w:right="-285"/>
      </w:pPr>
      <w:r>
        <w:t>Las señales y carteles verticales de circulación se abonarán por unidades (ud) realmente colocadas en obra. Se abonarán de manera independiente, el suministro y colocación de los postes de sustentación, incluida la excavación para su cimentación, el anclaje de hormigón HM-20 y los accesorios necesarios, del suministro y colocación de las señales. En este caso, se considera incluido en el precio las piezas de anclaje o atado y la tornillería de acero inoxidable.</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10" w:name="_Toc414021873"/>
      <w:bookmarkStart w:id="611" w:name="_Toc448741463"/>
      <w:r>
        <w:t>Cerramiento</w:t>
      </w:r>
      <w:bookmarkEnd w:id="610"/>
      <w:bookmarkEnd w:id="611"/>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El cerramiento de las parcelas se ejecutará mediante muros de fábrica, bien de bloques prefabricados o bien de mampostería careada.</w:t>
      </w:r>
    </w:p>
    <w:p w:rsidR="00C7085E" w:rsidRDefault="00C7085E" w:rsidP="00B71B1A">
      <w:pPr>
        <w:spacing w:before="120" w:after="240" w:line="276" w:lineRule="auto"/>
        <w:ind w:right="-285"/>
      </w:pPr>
      <w:r>
        <w:t>Estos materiales cumplirán con lo especificado para los mismos en los artículos correspondientes de este Pliego.</w:t>
      </w:r>
    </w:p>
    <w:p w:rsidR="00C7085E" w:rsidRDefault="00C7085E" w:rsidP="00B71B1A">
      <w:pPr>
        <w:spacing w:before="120" w:after="240" w:line="276" w:lineRule="auto"/>
        <w:ind w:right="-285"/>
      </w:pPr>
      <w:r>
        <w:t>Para los casos en los que no esté previsto el cierre de la parcela mediante muros de fábrica, se podrán emplear los siguientes cerramientos: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De acero pintado y malla electrosoldada</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De acero galvanizado y malla electrosoldada</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De acero galvanizado y malla de acero ondulada trenzada de hierro dulce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Medición y abono</w:t>
      </w:r>
    </w:p>
    <w:p w:rsidR="00C7085E" w:rsidRDefault="00C7085E" w:rsidP="00B71B1A">
      <w:pPr>
        <w:spacing w:before="120" w:after="240" w:line="276" w:lineRule="auto"/>
        <w:ind w:right="-285"/>
      </w:pPr>
      <w:r>
        <w:t xml:space="preserve">El cerramiento de la parcela con muro de fábrica se medirá por metros (m) realmente colocados en obra y se abonará, en función del material empleado, mediante la aplicación del precio que corresponda de los que figuren en el Cuadro de Precios vigente de Canal de </w:t>
      </w:r>
      <w:r>
        <w:lastRenderedPageBreak/>
        <w:t>Isabel II Gestión.</w:t>
      </w:r>
    </w:p>
    <w:p w:rsidR="00C7085E" w:rsidRDefault="00C7085E" w:rsidP="00B71B1A">
      <w:pPr>
        <w:spacing w:before="120" w:after="240" w:line="276" w:lineRule="auto"/>
        <w:ind w:right="-285"/>
      </w:pPr>
      <w:r>
        <w:t>En el precio de la unidad se considera incluida la cimentación del muro con hormigón HM-20, la albardilla de coronación, el cerramiento metálico con malla de acero galvanizado de simple torsión, los postes de esquina e intermedios, el alambre de tensar y la pintura antioxidante y de acabado.</w:t>
      </w:r>
    </w:p>
    <w:p w:rsidR="00C7085E" w:rsidRDefault="00C7085E" w:rsidP="00B71B1A">
      <w:pPr>
        <w:spacing w:before="120" w:after="240" w:line="276" w:lineRule="auto"/>
        <w:ind w:right="-285"/>
      </w:pPr>
      <w:r>
        <w:t>El cerramiento de la parcela sin muro de fábrica se medirá por metros (m) realmente colocados en obra y se abonará, en función del material empleado y de las dimensiones, mediante la aplicación del precio que corresponda, de los que figuren en el Cuadro de Precios vigente de Canal de Isabel II Gestión.</w:t>
      </w:r>
    </w:p>
    <w:p w:rsidR="00C7085E" w:rsidRDefault="00C7085E" w:rsidP="00B71B1A">
      <w:pPr>
        <w:spacing w:before="120" w:after="240" w:line="276" w:lineRule="auto"/>
        <w:ind w:right="-285"/>
      </w:pPr>
      <w:r>
        <w:t>En el precio de la unidad se consideran incluidos todos los materiales, la mano de obra y los medios auxiliares necesarios para que la unidad quede totalmente terminada.</w:t>
      </w:r>
    </w:p>
    <w:p w:rsidR="00C7085E" w:rsidRPr="00894B2B" w:rsidRDefault="00E77B39" w:rsidP="00B71B1A">
      <w:pPr>
        <w:pStyle w:val="Ttulo2"/>
        <w:numPr>
          <w:ilvl w:val="1"/>
          <w:numId w:val="5"/>
        </w:numPr>
        <w:snapToGrid/>
        <w:spacing w:before="400" w:after="400" w:line="276" w:lineRule="auto"/>
        <w:ind w:left="0" w:right="-285"/>
        <w:rPr>
          <w:caps w:val="0"/>
        </w:rPr>
      </w:pPr>
      <w:bookmarkStart w:id="612" w:name="_Toc414021874"/>
      <w:bookmarkStart w:id="613" w:name="_Toc448741464"/>
      <w:r w:rsidRPr="00E77B39">
        <w:rPr>
          <w:caps w:val="0"/>
        </w:rPr>
        <w:t>JARDINERÍA</w:t>
      </w:r>
      <w:bookmarkEnd w:id="612"/>
      <w:bookmarkEnd w:id="613"/>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14" w:name="_Toc414021875"/>
      <w:bookmarkStart w:id="615" w:name="_Toc448741465"/>
      <w:r>
        <w:t>Preparación del terreno</w:t>
      </w:r>
      <w:bookmarkEnd w:id="614"/>
      <w:bookmarkEnd w:id="615"/>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pStyle w:val="Prrafodelista"/>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Aporte y extendido de tierra vegetal</w:t>
      </w:r>
    </w:p>
    <w:p w:rsidR="00C7085E" w:rsidRDefault="00C7085E" w:rsidP="00B71B1A">
      <w:pPr>
        <w:spacing w:before="120" w:after="240" w:line="276" w:lineRule="auto"/>
        <w:ind w:right="-285"/>
        <w:rPr>
          <w:lang w:val="es-ES_tradnl"/>
        </w:rPr>
      </w:pPr>
      <w:r>
        <w:t>La tierra vegetal procederá de las excavaciones realizadas en las obras. En el caso de que este volumen sea insuficiente, se incorporarán tierras de otra procedencia siempre que sean aprobadas por la Dirección de Obra.</w:t>
      </w:r>
    </w:p>
    <w:p w:rsidR="00C7085E" w:rsidRDefault="00C7085E" w:rsidP="00B71B1A">
      <w:pPr>
        <w:spacing w:before="120" w:after="240" w:line="276" w:lineRule="auto"/>
        <w:ind w:right="-285"/>
      </w:pPr>
      <w:r>
        <w:t>En el transporte y depósito de la tierra vegetal se ha de utilizar maquinaria ligera para evitar que la misma se convierta en fango, y se evitará el paso de los camiones por encima de la tierra acopiada.</w:t>
      </w:r>
    </w:p>
    <w:p w:rsidR="00C7085E" w:rsidRDefault="00C7085E" w:rsidP="00B71B1A">
      <w:pPr>
        <w:spacing w:before="120" w:after="240" w:line="276" w:lineRule="auto"/>
        <w:ind w:right="-285"/>
      </w:pPr>
      <w:r>
        <w:t>El almacenamiento de la tierra vegetal en los lugares específicos de acopio se realizará en caballones de un metro y medio (1,5 m) de altura máxima.</w:t>
      </w:r>
    </w:p>
    <w:p w:rsidR="00C7085E" w:rsidRDefault="00C7085E" w:rsidP="00B71B1A">
      <w:pPr>
        <w:spacing w:before="120" w:after="240" w:line="276" w:lineRule="auto"/>
        <w:ind w:right="-285"/>
      </w:pPr>
      <w:r>
        <w:t>Previo al extendido de la tierra vegetal, es necesario proceder a la descompactación de las superficies por donde ha circulado la maquinaria, ya que el peso de ésta habrá dado lugar a una compactación de los materiales que impedirá el desarrollo y penetración de las raíces de las plantas. Por ello, las superficies sobre las que se extenderá la tierra vegetal, se deben escarificar ligeramente con anterioridad, a mano o mecánicamente.</w:t>
      </w:r>
    </w:p>
    <w:p w:rsidR="00C7085E" w:rsidRDefault="00C7085E" w:rsidP="00B71B1A">
      <w:pPr>
        <w:spacing w:before="120" w:after="240" w:line="276" w:lineRule="auto"/>
        <w:ind w:right="-285"/>
      </w:pPr>
      <w:r>
        <w:t>El extendido de tierra vegetal se realizará con maquinaria que ocasione una mínima compactación.</w:t>
      </w:r>
    </w:p>
    <w:p w:rsidR="00C7085E" w:rsidRDefault="00C7085E" w:rsidP="00B71B1A">
      <w:pPr>
        <w:spacing w:before="120" w:after="240" w:line="276" w:lineRule="auto"/>
        <w:ind w:right="-285"/>
      </w:pPr>
      <w:r>
        <w:t>Asimismo, en las áreas a ajardinar se aplicará una capa de tierra vegetal de veinte centímetros (20 cm) de espesor.</w:t>
      </w:r>
    </w:p>
    <w:p w:rsidR="00C7085E" w:rsidRDefault="00C7085E" w:rsidP="00B71B1A">
      <w:pPr>
        <w:spacing w:before="120" w:after="240" w:line="276" w:lineRule="auto"/>
        <w:ind w:right="-285"/>
      </w:pPr>
      <w:r>
        <w:t xml:space="preserve">En el caso de pedraplenes se procederá, antes del extendido de la tierra vegetal, a la incorporación de materiales apropiados que produzcan un cierto sellado que sirva de base a </w:t>
      </w:r>
      <w:r>
        <w:lastRenderedPageBreak/>
        <w:t>la capa de tierra vegetal.</w:t>
      </w:r>
    </w:p>
    <w:p w:rsidR="00C7085E" w:rsidRDefault="00C7085E" w:rsidP="00B71B1A">
      <w:pPr>
        <w:spacing w:before="120" w:after="240" w:line="276" w:lineRule="auto"/>
        <w:ind w:right="-285"/>
      </w:pPr>
      <w:r>
        <w:t>La tierra vegetal acopiada no deberá presentar un exceso de humedad, en el momento de su utilización, que dificulte su extensión. Esta operación no se realizará en días lluviosos.</w:t>
      </w:r>
    </w:p>
    <w:p w:rsidR="00C7085E" w:rsidRDefault="00C7085E" w:rsidP="00B71B1A">
      <w:pPr>
        <w:spacing w:before="120" w:after="240" w:line="276" w:lineRule="auto"/>
        <w:ind w:right="-285"/>
      </w:pPr>
      <w:r>
        <w:t>Salvo que la Dirección de Obra autorice a realizarla en otra época, la extensión de tierra vegetal se realizará en el período del año comprendido entre finales de agosto y finales de septiembre, siempre de forma inmediatamente anterior a las siembras en seco o hidrosiembras que hayan de ejecutarse en las mismas zonas y de forma posterior a la preparación del terreno que haya de ejecutarse en las mismas zonas.</w:t>
      </w:r>
    </w:p>
    <w:p w:rsidR="00C7085E" w:rsidRDefault="00C7085E" w:rsidP="00B71B1A">
      <w:pPr>
        <w:pStyle w:val="Prrafodelista"/>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Laboreo</w:t>
      </w:r>
    </w:p>
    <w:p w:rsidR="00C7085E" w:rsidRDefault="00C7085E" w:rsidP="00B71B1A">
      <w:pPr>
        <w:spacing w:before="120" w:after="240" w:line="276" w:lineRule="auto"/>
        <w:ind w:right="-285"/>
        <w:rPr>
          <w:lang w:val="es-ES_tradnl"/>
        </w:rPr>
      </w:pPr>
      <w:r>
        <w:t>El laboreo se define como la operación encaminada a mullir el suelo, alterando la disponibilidad de los horizontes, en una profundidad que oscila entre los diez y los veinte centímetros, dependiendo de los medios empleados. En el caso de empleo de herramienta manual, la profundidad a alcanzar será de veinte centímetros (20 cm), mientras que si se realiza mediante pases de motocultor, la profundidad será de diez-quince centímetros (10-15 cm).</w:t>
      </w:r>
    </w:p>
    <w:p w:rsidR="00C7085E" w:rsidRDefault="00C7085E" w:rsidP="00B71B1A">
      <w:pPr>
        <w:spacing w:before="120" w:after="240" w:line="276" w:lineRule="auto"/>
        <w:ind w:right="-285"/>
      </w:pPr>
      <w:r>
        <w:t>Después se procederá al alzado, buscando mullir las capas superiores del terreno que servirán de asiento de las semillas. El resultado debe ser una superficie uniforme pero a la vez rugosa, sin terrones mayores de dos centímetros (2 cm), adecuada para conseguir unas condiciones óptimas para el establecimiento de la vegetación y con el objeto de que sirva de cama de siembra.</w:t>
      </w:r>
    </w:p>
    <w:p w:rsidR="00C7085E" w:rsidRDefault="00C7085E" w:rsidP="00B71B1A">
      <w:pPr>
        <w:spacing w:before="120" w:after="240" w:line="276" w:lineRule="auto"/>
        <w:ind w:right="-285"/>
      </w:pPr>
      <w:r>
        <w:t>El laboreo puede realizarse en cualquier momento en que el contenido del suelo en humedad sea óptimo (suelo con buen tempero), de otra manera, es difícil de trabajar y hay un serio peligro de ulterior compactación, perdiendo precisamente la cualidad que se intenta mejorar con el laboreo. Jamás se realizará esta operación con la tierra excesivamente húmeda.</w:t>
      </w:r>
    </w:p>
    <w:p w:rsidR="00C7085E" w:rsidRDefault="00C7085E" w:rsidP="00B71B1A">
      <w:pPr>
        <w:spacing w:before="120" w:after="240" w:line="276" w:lineRule="auto"/>
        <w:ind w:right="-285"/>
      </w:pPr>
      <w:r>
        <w:t>Se deberá realizar en otoño o primavera con una considerable anticipación sobre el momento de plantar o sembrar. Se pueden realizar dos labores a distinta profundidad y con distintos aperos, incluso a mano en pequeñas superficies.</w:t>
      </w:r>
    </w:p>
    <w:p w:rsidR="00C7085E" w:rsidRDefault="00C7085E" w:rsidP="00B71B1A">
      <w:pPr>
        <w:spacing w:before="120" w:after="240" w:line="276" w:lineRule="auto"/>
        <w:ind w:right="-285"/>
      </w:pPr>
      <w:r>
        <w:t>Las enmiendas y abonos de acción lenta se podrán incorporar al suelo con el laboreo; bastará para ello extenderlos sobre la superficie antes de empezar a labrar.</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pStyle w:val="ARIALNORMAL"/>
        <w:spacing w:before="120" w:after="240" w:line="276" w:lineRule="auto"/>
        <w:ind w:right="-285"/>
      </w:pPr>
      <w:r>
        <w:t>Se comprobará que el mullido se ha practicado en la profundidad establecida, que la granulometría y uniformidad son adecuadas, sin exceso de finos y que no se haya formado suela de labor. Igualmente se comprobará la regularidad del acabado superficial.</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 xml:space="preserve">Las operaciones que comprenden los trabajos previos se medirán por unidades (ud) de </w:t>
      </w:r>
      <w:r>
        <w:lastRenderedPageBreak/>
        <w:t>elemento tratado, por metros cuadrados (m</w:t>
      </w:r>
      <w:r>
        <w:rPr>
          <w:vertAlign w:val="superscript"/>
        </w:rPr>
        <w:t>2</w:t>
      </w:r>
      <w:r>
        <w:t>) de superficie tratada o por metros cúbicos (m</w:t>
      </w:r>
      <w:r>
        <w:rPr>
          <w:vertAlign w:val="superscript"/>
        </w:rPr>
        <w:t>3</w:t>
      </w:r>
      <w:r>
        <w:t>) de material aportado, según corresponda.</w:t>
      </w:r>
    </w:p>
    <w:p w:rsidR="00C7085E" w:rsidRDefault="00C7085E" w:rsidP="00B71B1A">
      <w:pPr>
        <w:spacing w:before="120" w:after="240" w:line="276" w:lineRule="auto"/>
        <w:ind w:right="-285"/>
      </w:pPr>
      <w:r>
        <w:t>El abono se realizará al precio que corresponda, en función de la descripción de la unidad, de los que figuren en el Cuadro de Precios vigente de Canal de Isabel II Gestión.</w:t>
      </w:r>
    </w:p>
    <w:p w:rsidR="0071105C" w:rsidRDefault="0071105C" w:rsidP="00B71B1A">
      <w:pPr>
        <w:widowControl/>
        <w:autoSpaceDE/>
        <w:autoSpaceDN/>
        <w:adjustRightInd/>
        <w:spacing w:line="276" w:lineRule="auto"/>
        <w:ind w:right="-285"/>
        <w:jc w:val="left"/>
        <w:rPr>
          <w:rFonts w:ascii="Arial Negrita" w:hAnsi="Arial Negrita"/>
          <w:b/>
          <w:snapToGrid w:val="0"/>
        </w:rPr>
      </w:pPr>
      <w:bookmarkStart w:id="616" w:name="_Toc414021876"/>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17" w:name="_Toc448741466"/>
      <w:r>
        <w:t>Tuberías de riego</w:t>
      </w:r>
      <w:bookmarkEnd w:id="616"/>
      <w:bookmarkEnd w:id="617"/>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keepNext/>
        <w:spacing w:before="120" w:after="240" w:line="276" w:lineRule="auto"/>
        <w:ind w:right="-285"/>
      </w:pPr>
      <w:r>
        <w:t>Se utilizarán tuberías de polietileno conformes a la norma UNE-EN 12201.</w:t>
      </w:r>
    </w:p>
    <w:p w:rsidR="00C7085E" w:rsidRDefault="00C7085E" w:rsidP="00B71B1A">
      <w:pPr>
        <w:spacing w:before="120" w:after="240" w:line="276" w:lineRule="auto"/>
        <w:ind w:right="-285"/>
      </w:pPr>
      <w:r>
        <w:t>Cada red de riego incluirá los siguientes elementos (además de los goteadores autocompensados integrados en las tuberías) para la distribución del agua en las zonas a regar:</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Aspersores.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Difusores.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Válvulas y accesorios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Bocas de riego.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Arquetas.</w:t>
      </w:r>
    </w:p>
    <w:p w:rsidR="00C7085E" w:rsidRDefault="00C7085E" w:rsidP="00B71B1A">
      <w:pPr>
        <w:spacing w:before="120" w:after="240" w:line="276" w:lineRule="auto"/>
        <w:ind w:right="-285"/>
        <w:rPr>
          <w:lang w:val="es-ES_tradnl"/>
        </w:rPr>
      </w:pPr>
      <w:r>
        <w:t>Asimismo, las redes de riego contarán con un sistema electrónico para regular su funcionamiento, que estará compuesto por los siguientes elementos: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Programador electrónico.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Electroválvulas.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Conectores estancos.</w:t>
      </w:r>
    </w:p>
    <w:p w:rsidR="00C7085E" w:rsidRDefault="00C7085E" w:rsidP="00B71B1A">
      <w:pPr>
        <w:pStyle w:val="Prrafodelista"/>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Sistema de protección antidescarga.</w:t>
      </w:r>
    </w:p>
    <w:p w:rsidR="00C7085E" w:rsidRDefault="00C7085E" w:rsidP="00B71B1A">
      <w:pPr>
        <w:spacing w:before="120" w:after="240" w:line="276" w:lineRule="auto"/>
        <w:ind w:right="-285"/>
        <w:rPr>
          <w:lang w:val="es-ES_tradnl"/>
        </w:rPr>
      </w:pPr>
      <w:r>
        <w:t>Los aspersores serán de giro por turbina y dispondrán de un sistema antivandálico. Se conectarán a las tuberías de polietileno, y se distribuirán en las posiciones que aseguren un riego sectorial de cinco a ocho metros de radio.</w:t>
      </w:r>
    </w:p>
    <w:p w:rsidR="00C7085E" w:rsidRDefault="00C7085E" w:rsidP="00B71B1A">
      <w:pPr>
        <w:spacing w:before="120" w:after="240" w:line="276" w:lineRule="auto"/>
        <w:ind w:right="-285"/>
        <w:rPr>
          <w:i/>
        </w:rPr>
      </w:pPr>
      <w:r>
        <w:t>Los aspersores deberán cumplir con lo especificado para los mismos en la norma UNE 68072: “</w:t>
      </w:r>
      <w:r>
        <w:rPr>
          <w:i/>
        </w:rPr>
        <w:t>Material de riego. Aspersores rotativos. Requisitos generales y métodos de ensayo”.</w:t>
      </w:r>
    </w:p>
    <w:p w:rsidR="00C7085E" w:rsidRDefault="00C7085E" w:rsidP="00B71B1A">
      <w:pPr>
        <w:pStyle w:val="ARIALNORMAL"/>
        <w:spacing w:before="120" w:after="240" w:line="276" w:lineRule="auto"/>
        <w:ind w:right="-285"/>
      </w:pPr>
      <w:r>
        <w:t>Los difusores cumplirán con lo especificado para los mismos en la norma UNE-ISO 8026: “</w:t>
      </w:r>
      <w:r>
        <w:rPr>
          <w:i/>
          <w:szCs w:val="24"/>
        </w:rPr>
        <w:t>Materiales de riego. Difusores. Especificaciones y métodos de ensayo</w:t>
      </w:r>
      <w:r>
        <w:rPr>
          <w:szCs w:val="24"/>
        </w:rPr>
        <w:t>”.</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Las tuberías de polietileno de las redes de riego se colocarán superficialmente en las áreas ajardinadas a regar, discurriendo por su perímetro, en alineación similar a la de los setos arbustivos de los mismos.</w:t>
      </w:r>
    </w:p>
    <w:p w:rsidR="00C7085E" w:rsidRDefault="00C7085E" w:rsidP="00B71B1A">
      <w:pPr>
        <w:spacing w:before="120" w:after="240" w:line="276" w:lineRule="auto"/>
        <w:ind w:right="-285"/>
      </w:pPr>
      <w:r>
        <w:t xml:space="preserve">Los goteadores irán insertos en las tuberías de polietileno, y la distancia entre ellos podrá </w:t>
      </w:r>
      <w:r>
        <w:lastRenderedPageBreak/>
        <w:t>variar entre los treinta centímetros y un metro (0,3 y 1,0 m).</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tuberías de las redes de riego se medirán por metros (m) realmente instalados y se abonarán, en función del tipo y del diámetro, al precio que corresponda, de los que figuren en el Cuadro de Precios vigente de Canal de Isabel II Gestión.</w:t>
      </w:r>
    </w:p>
    <w:p w:rsidR="00C7085E" w:rsidRDefault="00C7085E" w:rsidP="00B71B1A">
      <w:pPr>
        <w:spacing w:before="120" w:after="240" w:line="276" w:lineRule="auto"/>
        <w:ind w:right="-285"/>
      </w:pPr>
      <w:r>
        <w:t>La Dirección de Obra podrá ordenar la realización de las pruebas que considere pertinentes en los distintos elementos de las redes de riego, para verificar su calidad, así como la ejecución de pruebas de las redes en su conjunto una vez concluida su instalación, para comprobar su correcto funcionamiento. Estas pruebas serán por cuenta del Adjudicatario serán de cuenta del Contratista, estando incluidos en los precios de los distintos tipos de tubos.</w:t>
      </w:r>
    </w:p>
    <w:p w:rsidR="00C7085E" w:rsidRDefault="00C7085E" w:rsidP="00B71B1A">
      <w:pPr>
        <w:spacing w:before="120" w:after="240" w:line="276" w:lineRule="auto"/>
        <w:ind w:right="-285"/>
      </w:pPr>
      <w:r>
        <w:t xml:space="preserve">Los diferentes elementos constitutivos de las redes de riego (filtros, aspersores, difusores, electroválvulas, arquetas, etc.,) se medirán por unidades (ud) realmente instaladas, y se abonarán, en función del elemento de que se trate, al precio que corresponda de los, que figuren en el Cuadro de Precios vigente </w:t>
      </w:r>
      <w:bookmarkStart w:id="618" w:name="_Toc414021878"/>
      <w:r>
        <w:t>de Canal de Isabel II Gestión.</w:t>
      </w:r>
    </w:p>
    <w:p w:rsidR="00C7085E" w:rsidRDefault="00C7085E" w:rsidP="00B71B1A">
      <w:pPr>
        <w:pStyle w:val="Ttulo3"/>
        <w:widowControl/>
        <w:numPr>
          <w:ilvl w:val="2"/>
          <w:numId w:val="5"/>
        </w:numPr>
        <w:tabs>
          <w:tab w:val="left" w:pos="567"/>
        </w:tabs>
        <w:suppressAutoHyphens/>
        <w:snapToGrid w:val="0"/>
        <w:spacing w:before="120" w:after="240" w:line="276" w:lineRule="auto"/>
        <w:ind w:left="1701" w:right="-285" w:hanging="1701"/>
      </w:pPr>
      <w:bookmarkStart w:id="619" w:name="_Toc448741467"/>
      <w:r>
        <w:t>Plantaciones</w:t>
      </w:r>
      <w:bookmarkEnd w:id="618"/>
      <w:bookmarkEnd w:id="619"/>
    </w:p>
    <w:p w:rsidR="00C7085E" w:rsidRDefault="00C7085E" w:rsidP="00B71B1A">
      <w:pPr>
        <w:keepNext/>
        <w:spacing w:before="120" w:after="240" w:line="276" w:lineRule="auto"/>
        <w:ind w:right="-285"/>
      </w:pPr>
      <w:r>
        <w:t>Este proceso incluye las operaciones de suministro de plantas a la obra, la ejecución de las plantaciones y las labores de mantenimiento (riegos, reposición de marras, etc.) hasta la finalización del período de garantía, necesarias para el correcto establecimiento y el enraizamiento en los lugares definidos en el Proyecto de las especies vegetales.</w:t>
      </w:r>
    </w:p>
    <w:p w:rsidR="00C7085E" w:rsidRDefault="00C7085E" w:rsidP="00B71B1A">
      <w:pPr>
        <w:spacing w:before="120" w:after="240" w:line="276" w:lineRule="auto"/>
        <w:ind w:right="-285"/>
      </w:pPr>
      <w:r>
        <w:t>Se entiende por planta toda especie vegetal que, habiendo nacido y sido criada en un lugar, es sacada de éste y situada en el punto de ubicación que se indica en el Proyecto.</w:t>
      </w:r>
    </w:p>
    <w:p w:rsidR="00C7085E" w:rsidRDefault="00C7085E" w:rsidP="00B71B1A">
      <w:pPr>
        <w:spacing w:before="120" w:after="240" w:line="276" w:lineRule="auto"/>
        <w:ind w:right="-285"/>
      </w:pPr>
      <w:r>
        <w:t>Se distinguirán las siguientes dimensiones y características de las plantas a utilizar:</w:t>
      </w:r>
    </w:p>
    <w:p w:rsidR="00C7085E" w:rsidRDefault="00C7085E" w:rsidP="00B71B1A">
      <w:pPr>
        <w:pStyle w:val="TIMESNORMAL"/>
        <w:suppressAutoHyphens/>
        <w:autoSpaceDE w:val="0"/>
        <w:autoSpaceDN w:val="0"/>
        <w:adjustRightInd w:val="0"/>
        <w:spacing w:before="120" w:after="240" w:line="276" w:lineRule="auto"/>
        <w:ind w:left="714" w:right="-285" w:hanging="357"/>
        <w:rPr>
          <w:rFonts w:cs="Arial"/>
          <w:sz w:val="22"/>
        </w:rPr>
      </w:pPr>
      <w:r>
        <w:rPr>
          <w:rFonts w:cs="Arial"/>
          <w:sz w:val="22"/>
        </w:rPr>
        <w:t>-</w:t>
      </w:r>
      <w:r>
        <w:rPr>
          <w:rFonts w:cs="Arial"/>
          <w:sz w:val="22"/>
        </w:rPr>
        <w:tab/>
        <w:t>Árbol. Vegetal leñoso que puede llegar a alcanzar en su madurez cinco metros (5 m) de altura o más, no se ramifica desde la base y posee un tallo principal llamado tronco.</w:t>
      </w:r>
    </w:p>
    <w:p w:rsidR="00C7085E" w:rsidRDefault="00C7085E" w:rsidP="00B71B1A">
      <w:pPr>
        <w:pStyle w:val="TIMESNORMAL"/>
        <w:suppressAutoHyphens/>
        <w:autoSpaceDE w:val="0"/>
        <w:autoSpaceDN w:val="0"/>
        <w:adjustRightInd w:val="0"/>
        <w:spacing w:before="120" w:after="240" w:line="276" w:lineRule="auto"/>
        <w:ind w:left="714" w:right="-285" w:hanging="357"/>
        <w:rPr>
          <w:rFonts w:cs="Arial"/>
          <w:sz w:val="22"/>
        </w:rPr>
      </w:pPr>
      <w:r>
        <w:rPr>
          <w:rFonts w:cs="Arial"/>
          <w:sz w:val="22"/>
        </w:rPr>
        <w:t>-</w:t>
      </w:r>
      <w:r>
        <w:rPr>
          <w:rFonts w:cs="Arial"/>
          <w:sz w:val="22"/>
        </w:rPr>
        <w:tab/>
        <w:t>Arbusto. Vegetal leñoso que, como norma general, se ramifica desde la base y puede no poseer un tallo principal. Su altura normal no alcanza los cinco metros (5 metros).</w:t>
      </w:r>
    </w:p>
    <w:p w:rsidR="00C7085E" w:rsidRDefault="00C7085E" w:rsidP="00B71B1A">
      <w:pPr>
        <w:pStyle w:val="TIMESNORMAL"/>
        <w:suppressAutoHyphens/>
        <w:spacing w:before="120" w:after="240" w:line="276" w:lineRule="auto"/>
        <w:ind w:left="709" w:right="-285" w:hanging="709"/>
        <w:rPr>
          <w:rFonts w:cs="Arial"/>
          <w:sz w:val="22"/>
        </w:rPr>
      </w:pPr>
      <w:r>
        <w:rPr>
          <w:rFonts w:cs="Arial"/>
          <w:sz w:val="22"/>
        </w:rPr>
        <w:t>-</w:t>
      </w:r>
      <w:r>
        <w:rPr>
          <w:rFonts w:cs="Arial"/>
          <w:sz w:val="22"/>
        </w:rPr>
        <w:tab/>
        <w:t>Planta vivaz: Vegetal no leñoso (herbáceo) que dura varios años. También planta cuya parte subterránea vive varios años.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cs="Arial Negrita"/>
        </w:rPr>
      </w:pPr>
      <w:r>
        <w:t>Materiales</w:t>
      </w:r>
    </w:p>
    <w:p w:rsidR="00C7085E" w:rsidRDefault="00C7085E" w:rsidP="00B71B1A">
      <w:pPr>
        <w:spacing w:before="120" w:after="240" w:line="276" w:lineRule="auto"/>
        <w:ind w:right="-285"/>
      </w:pPr>
      <w:r>
        <w:t>Los árboles, arbustos y plantas pertenecerán a las especies, variedades y medidas señaladas en el Proyecto y reunirán las condiciones de edad, tamaño, desarrollo, forma de cultivo y de trasplante que asimismo en él se indiquen.</w:t>
      </w:r>
    </w:p>
    <w:p w:rsidR="00C7085E" w:rsidRDefault="00C7085E" w:rsidP="00B71B1A">
      <w:pPr>
        <w:keepNext/>
        <w:keepLines/>
        <w:spacing w:before="120" w:after="240" w:line="276" w:lineRule="auto"/>
        <w:ind w:right="-285"/>
      </w:pPr>
      <w:r>
        <w:lastRenderedPageBreak/>
        <w:t>Tendrán las siguientes condiciones generales:</w:t>
      </w:r>
    </w:p>
    <w:p w:rsidR="00C7085E" w:rsidRDefault="00C7085E" w:rsidP="00B71B1A">
      <w:pPr>
        <w:pStyle w:val="Prrafodelista"/>
        <w:keepNext/>
        <w:keepLines/>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Los árboles, arbustos y plantas serán bien conformados, de desarrollo normal, sin que presenten síntomas de raquitismo o retraso. No presentarán heridas en el tronco o ramas y el sistema radical será completo y proporcionado al porte. Las raíces de las plantas de cepellón presentaran cortes limpios y recientes, sin desgarrones ni heridas.</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Su porte será normal y bien ramificado y las plantas de hoja perenne presentarán el sistema foliar completo, sin decoloración ni síntomas de clorosis. Las plantas estarán ramificadas desde su base, cuando éste sea su porte natural, en las coníferas además, las ramas irán abundantemente provistas de hojas. En los arbustos, las plantas tendrán como mínimo tres brazos en la base.</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Las plantas suministradas poseerán un sistema radical, en el que se hayan desarrollado las suficientes raíces finas para establecer enseguida un equilibrio con la parte aérea.</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Se debe corresponder el porte y desarrollo con la edad de la planta. La edad de las plantas será la mínima necesaria para obtener el porte exigido, no admitiéndose aquellos ejemplares, que aun cumpliendo la condición del porte, sobrepasen en años la edad necesaria para alcanzarlo. La planta estará bien conformada y su desarrollo estará en consonancia con su altura.</w:t>
      </w:r>
    </w:p>
    <w:p w:rsidR="00C7085E" w:rsidRDefault="00C7085E" w:rsidP="00B71B1A">
      <w:pPr>
        <w:spacing w:before="120" w:after="240" w:line="276" w:lineRule="auto"/>
        <w:ind w:right="-285"/>
        <w:rPr>
          <w:lang w:val="es-ES_tradnl"/>
        </w:rPr>
      </w:pPr>
      <w:r>
        <w:t>En cuanto a las dimensiones y características particulares, se ajustarán a las prescripciones del Proyecto, debiéndose dar como mínimo: para árboles caducos la circunferencia o/y la altura para los de hoja perenne; para los arbustos la altura y para las plantas herbáceas, la modalidad y el tamaño.</w:t>
      </w:r>
    </w:p>
    <w:p w:rsidR="00C7085E" w:rsidRDefault="00C7085E" w:rsidP="00B71B1A">
      <w:pPr>
        <w:spacing w:before="120" w:after="240" w:line="276" w:lineRule="auto"/>
        <w:ind w:right="-285"/>
      </w:pPr>
      <w:r>
        <w:t>Serán rechazadas las plantas que:</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En cualquiera de sus órganos o en su madera puedan ser portadoras de plagas o enfermedades.</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Hayan sido cultivadas sin espaciamiento suficiente.</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Hayan tenido crecimientos desproporcionados, por haber sido sometidas a tratamientos especiales u otras causas.</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Lleven en el cepellón plántulas de malas hierbas.</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Durante el arranque o transporte hayan sufrido daños.</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No vengan protegidas por el correspondiente embalaje.</w:t>
      </w:r>
    </w:p>
    <w:p w:rsidR="00C7085E" w:rsidRDefault="00C7085E" w:rsidP="00B71B1A">
      <w:pPr>
        <w:spacing w:before="120" w:after="240" w:line="276" w:lineRule="auto"/>
        <w:ind w:right="-285"/>
        <w:rPr>
          <w:lang w:val="es-ES_tradnl"/>
        </w:rPr>
      </w:pPr>
      <w:r>
        <w:t>La preparación de las plantas para su transporte al lugar de plantación se efectuará de acuerdo con la exigencia de la especie, edad de la planta y sistema de transporte elegido.</w:t>
      </w:r>
    </w:p>
    <w:p w:rsidR="00C7085E" w:rsidRDefault="00C7085E" w:rsidP="00B71B1A">
      <w:pPr>
        <w:spacing w:before="120" w:after="240" w:line="276" w:lineRule="auto"/>
        <w:ind w:right="-285"/>
      </w:pPr>
      <w:r>
        <w:t>Las plantas en maceta se dispondrán de manera que ésta quede fija y aquellas suficientemente separadas unas de otras, para que no se molesten entre sí y no sufran deterioros ni roturas.</w:t>
      </w:r>
    </w:p>
    <w:p w:rsidR="00C7085E" w:rsidRDefault="00C7085E" w:rsidP="00B71B1A">
      <w:pPr>
        <w:spacing w:before="120" w:after="240" w:line="276" w:lineRule="auto"/>
        <w:ind w:right="-285"/>
      </w:pPr>
      <w:r>
        <w:t>Los árboles con cepellón se prepararán de forma que éste llegue completo al lugar de plantación, de manera que el cepellón no presente roturas ni resquebrajaduras, sino constituyendo un todo compacto.</w:t>
      </w:r>
    </w:p>
    <w:p w:rsidR="00C7085E" w:rsidRDefault="00C7085E" w:rsidP="00B71B1A">
      <w:pPr>
        <w:spacing w:before="120" w:after="240" w:line="276" w:lineRule="auto"/>
        <w:ind w:right="-285"/>
      </w:pPr>
      <w:r>
        <w:lastRenderedPageBreak/>
        <w:t>El transporte de las especies vegetales deberá efectuarse lo más rápidamente posible y tomando todas la precauciones necesarias, con el fin de no deteriorar las plantas.</w:t>
      </w:r>
    </w:p>
    <w:p w:rsidR="00C7085E" w:rsidRDefault="00C7085E" w:rsidP="00B71B1A">
      <w:pPr>
        <w:spacing w:before="120" w:after="240" w:line="276" w:lineRule="auto"/>
        <w:ind w:right="-285"/>
      </w:pPr>
      <w:r>
        <w:t>El número de plantas transportadas desde el vivero o plantación será el que diariamente pueda plantarse y si por cualquier motivo es superior, se depositarán las plantas que sobren en una zanja, protegiendo la raíz y parte de la copa, regándolas si fuera necesario, para mantenerla en condiciones adecuadas.</w:t>
      </w:r>
    </w:p>
    <w:p w:rsidR="00C7085E" w:rsidRDefault="00C7085E" w:rsidP="00B71B1A">
      <w:pPr>
        <w:spacing w:before="120" w:after="240" w:line="276" w:lineRule="auto"/>
        <w:ind w:right="-285"/>
      </w:pPr>
      <w:r>
        <w:t xml:space="preserve">El Adjudicatario vendrá obligado a sustituir las plantas rechazadas y correrán a su costa todos los gastos ocasionados por las sustituciones, sin que el posible retraso pueda repercutir en el Plazo de Ejecución de la Obra. </w:t>
      </w:r>
    </w:p>
    <w:p w:rsidR="00C7085E" w:rsidRDefault="00C7085E" w:rsidP="00B71B1A">
      <w:pPr>
        <w:spacing w:before="120" w:after="240" w:line="276" w:lineRule="auto"/>
        <w:ind w:right="-285"/>
      </w:pPr>
      <w:r>
        <w:t>Para la formación de setos y pantallas, las plantas serán:</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Del mismo color y tonalidad.</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Ramificadas y guarnecidas desde la base y capaces de conservar estos caracteres con la edad.</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De la misma altura.</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De hojas persistentes, cuando se destinen a impedir la visión.</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 xml:space="preserve">Muy ramificadas cuando se trate de impedir el acceso. </w:t>
      </w:r>
    </w:p>
    <w:p w:rsidR="00C7085E" w:rsidRDefault="00C7085E" w:rsidP="00B71B1A">
      <w:pPr>
        <w:spacing w:before="120" w:after="240" w:line="276" w:lineRule="auto"/>
        <w:ind w:right="-285"/>
        <w:rPr>
          <w:lang w:val="es-ES_tradnl"/>
        </w:rPr>
      </w:pPr>
      <w:r>
        <w:t>Cada lote de cada variedad o especie se deberá suministrar con una etiqueta duradera, con los caracteres bien visibles y claros, indelebles, en los que se especifique como mínimo: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Número de registro del vivero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Nombre del proveedor</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Número individual de serie o de lote</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Fecha de expedición</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Nombre botánico de acuerdo con el Código Internacional de Nomenclatura Botánica</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Denominación del cultivar, si procede, de acuerdo con el Código Internacional de Nomenclatura para Plantas Cultivadas</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Denominación del patrón si procede</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Cantidad</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Presentación del sistema radical</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Perímetro del tronco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Volumen del contenedor, si procede</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Número del pasaporte fitosanitario, si procede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Ejecución</w:t>
      </w:r>
    </w:p>
    <w:p w:rsidR="00C7085E" w:rsidRDefault="00C7085E" w:rsidP="00B71B1A">
      <w:pPr>
        <w:spacing w:before="120" w:after="240" w:line="276" w:lineRule="auto"/>
        <w:ind w:right="-285"/>
      </w:pPr>
      <w:r>
        <w:t>El proceso de plantación se realizará con especies procedentes de viveros acreditados, quedando totalmente prohibido trasplantar plantas de las inmediaciones para su aprovechamiento en la obra.</w:t>
      </w:r>
    </w:p>
    <w:p w:rsidR="00C7085E" w:rsidRDefault="00C7085E" w:rsidP="00B71B1A">
      <w:pPr>
        <w:spacing w:before="120" w:after="240" w:line="276" w:lineRule="auto"/>
        <w:ind w:right="-285"/>
      </w:pPr>
      <w:r>
        <w:t xml:space="preserve">La apertura de hoyos y zanjas de plantación de árboles consisten en el vaciado del terreno, que se realizará excavando en un volumen proporcional a las exigencias a la plantación a realizar y de manera que en todos los casos, el sistema de raíces pueda colocarse sin </w:t>
      </w:r>
      <w:r>
        <w:lastRenderedPageBreak/>
        <w:t>doblar y con la holgura suficiente. El tamaño de la planta afecta directamente el tamaño del hoyo por la extensión del sistema radical o las dimensiones del cepellón de tierra que le acompaña. Como norma general, el tamaño del hoyo deberá ser como mínimo el doble del volumen del cepellón o del sistema radical de la planta que se ubicará en él.</w:t>
      </w:r>
    </w:p>
    <w:p w:rsidR="00C7085E" w:rsidRDefault="00C7085E" w:rsidP="00B71B1A">
      <w:pPr>
        <w:spacing w:before="120" w:after="240" w:line="276" w:lineRule="auto"/>
        <w:ind w:right="-285"/>
      </w:pPr>
      <w:r>
        <w:t>La excavación se efectuará con la mayor antelación posible sobre la plantación, para favorecer la meteorización de las tierras. El lapso entre excavación y plantación no será inferior a una semana.</w:t>
      </w:r>
    </w:p>
    <w:p w:rsidR="00C7085E" w:rsidRDefault="00C7085E" w:rsidP="00B71B1A">
      <w:pPr>
        <w:spacing w:before="120" w:after="240" w:line="276" w:lineRule="auto"/>
        <w:ind w:right="-285"/>
      </w:pPr>
      <w:r>
        <w:t>Se cuidará de no causar daños a las conducciones eléctricas, telefónicas, de agua, etc. que pudieran existir en la zona, se descubrirán con las debidas precauciones y se suspenderán adecuadamente, conforme a su rigidez.</w:t>
      </w:r>
    </w:p>
    <w:p w:rsidR="00C7085E" w:rsidRDefault="00C7085E" w:rsidP="00B71B1A">
      <w:pPr>
        <w:spacing w:before="120" w:after="240" w:line="276" w:lineRule="auto"/>
        <w:ind w:right="-285"/>
      </w:pPr>
      <w:r>
        <w:t>Para la plantación de bosquetes y grupos, podrá optarse por una labor de desfonde común, extendida a la superficie ocupada, y posteriormente, se abrirán los huecos superficiales de las dimensiones adecuadas para cada tipo de planta.</w:t>
      </w:r>
    </w:p>
    <w:p w:rsidR="00C7085E" w:rsidRDefault="00C7085E" w:rsidP="00B71B1A">
      <w:pPr>
        <w:keepNext/>
        <w:keepLines/>
        <w:spacing w:before="120" w:after="240" w:line="276" w:lineRule="auto"/>
        <w:ind w:right="-285"/>
      </w:pPr>
      <w:r>
        <w:t>La plantación se ejecutará de la forma siguiente:</w:t>
      </w:r>
    </w:p>
    <w:p w:rsidR="00C7085E" w:rsidRDefault="00C7085E" w:rsidP="00B71B1A">
      <w:pPr>
        <w:pStyle w:val="Prrafodelista"/>
        <w:keepNext/>
        <w:keepLines/>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Se aportara al fondo del hoyo una capa mínima de veinticinco centímetros (25 cm) de tierra.</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Se colocará la planta debidamente centrada en posición vertical.</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El hoyo se rellenará con tierra libre de elementos gruesos, apretándola mediante pisado gradual a medida que se va colmatando el foso, logrando que penetre entre las raíces sin dejar espacios vacíos.</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Para finalizar se dará un riego copioso en el mismo día que se planta.</w:t>
      </w:r>
    </w:p>
    <w:p w:rsidR="00C7085E" w:rsidRDefault="00C7085E" w:rsidP="00B71B1A">
      <w:pPr>
        <w:spacing w:before="120" w:after="240" w:line="276" w:lineRule="auto"/>
        <w:ind w:right="-285"/>
        <w:rPr>
          <w:lang w:val="es-ES_tradnl"/>
        </w:rPr>
      </w:pPr>
      <w:r>
        <w:t>Para el relleno de los agujeros de a la plantación se tendrán en cuenta los siguientes materiales:</w:t>
      </w:r>
    </w:p>
    <w:p w:rsidR="00C7085E" w:rsidRDefault="00C7085E" w:rsidP="00B71B1A">
      <w:pPr>
        <w:pStyle w:val="Prrafodelista"/>
        <w:keepNext/>
        <w:keepLines/>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Materiales propios de la excavación si poseen la calidad exigida</w:t>
      </w:r>
    </w:p>
    <w:p w:rsidR="00C7085E" w:rsidRDefault="00C7085E" w:rsidP="00B71B1A">
      <w:pPr>
        <w:pStyle w:val="Prrafodelista"/>
        <w:keepNext/>
        <w:keepLines/>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Materiales propios de la excavación previa selección de los diferentes horizontes y capas de la excavación</w:t>
      </w:r>
    </w:p>
    <w:p w:rsidR="00C7085E" w:rsidRDefault="00C7085E" w:rsidP="00B71B1A">
      <w:pPr>
        <w:pStyle w:val="Prrafodelista"/>
        <w:keepNext/>
        <w:keepLines/>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Materiales propios de la excavación, enriquecidos con tierra fértil abonada o no</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Tierra fértil, abonada o no.</w:t>
      </w:r>
    </w:p>
    <w:p w:rsidR="00C7085E" w:rsidRDefault="00C7085E" w:rsidP="00B71B1A">
      <w:pPr>
        <w:spacing w:before="120" w:after="240" w:line="276" w:lineRule="auto"/>
        <w:ind w:right="-285"/>
        <w:rPr>
          <w:lang w:val="es-ES_tradnl"/>
        </w:rPr>
      </w:pPr>
      <w:r>
        <w:t>No se realizará ninguna plantación hasta que no se encuentre finalizada, comprobada y en funcionamiento la instalación de riego proyectada. Las plantaciones no podrán efectuarse en época de heladas.</w:t>
      </w:r>
    </w:p>
    <w:p w:rsidR="00C7085E" w:rsidRDefault="00C7085E" w:rsidP="00B71B1A">
      <w:pPr>
        <w:spacing w:before="120" w:after="240" w:line="276" w:lineRule="auto"/>
        <w:ind w:right="-285"/>
      </w:pPr>
      <w:r>
        <w:t>El riego vendrá condicionado por la estación del año, el tipo de árbol, el tipo y condición del suelo. La Dirección de Obra facilitará las instrucciones de riego necesarias tras la operación de plantación. El agua a utilizar en la plantación y siembra, así como en los riegos de conservación, será suficientemente pura, con concentraciones salinas (cloruros y sulfatos) inferior al cinco por mil (0,5</w:t>
      </w:r>
      <w:r>
        <w:rPr>
          <w:rFonts w:cs="Arial"/>
        </w:rPr>
        <w:t>‰</w:t>
      </w:r>
      <w:r>
        <w:t xml:space="preserve">). No se utilizará agua con un pH inferior a seis (6). </w:t>
      </w:r>
    </w:p>
    <w:p w:rsidR="00C7085E" w:rsidRDefault="00C7085E" w:rsidP="00B71B1A">
      <w:pPr>
        <w:spacing w:before="120" w:after="240" w:line="276" w:lineRule="auto"/>
        <w:ind w:right="-285"/>
      </w:pPr>
      <w:r>
        <w:t xml:space="preserve">Para evitar que los árboles sean abatidos por el viento o que fallen por ceder el subsuelo en contacto con las raíces, se utilizarán tutores, de longitud aproximada a la del tronco del árbol </w:t>
      </w:r>
      <w:r>
        <w:lastRenderedPageBreak/>
        <w:t>a sujetar y colocados del lado donde sople el viento dominante.</w:t>
      </w:r>
    </w:p>
    <w:p w:rsidR="00C7085E" w:rsidRDefault="00C7085E" w:rsidP="00B71B1A">
      <w:pPr>
        <w:spacing w:before="120" w:after="240" w:line="276" w:lineRule="auto"/>
        <w:ind w:right="-285"/>
      </w:pPr>
      <w:r>
        <w:t>Los tutores se enterrarán al menos cien centímetros (100 cm) de profundidad, se colocarán lo más centrado posible con el tronco y a una distancia mínima de veinte centímetros (20 cm).</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rPr>
          <w:u w:val="single"/>
        </w:rPr>
      </w:pPr>
      <w:r>
        <w:rPr>
          <w:u w:val="single"/>
        </w:rPr>
        <w:t>Control de calidad de los materiales</w:t>
      </w:r>
    </w:p>
    <w:p w:rsidR="00C7085E" w:rsidRDefault="00C7085E" w:rsidP="00B71B1A">
      <w:pPr>
        <w:spacing w:before="120" w:after="240" w:line="276" w:lineRule="auto"/>
        <w:ind w:right="-285"/>
      </w:pPr>
      <w:r>
        <w:t>Se exigirá certificado de garantía del vivero o plantación suministradora de las especies vegetales.</w:t>
      </w:r>
    </w:p>
    <w:p w:rsidR="00C7085E" w:rsidRDefault="00C7085E" w:rsidP="00B71B1A">
      <w:pPr>
        <w:spacing w:before="120" w:after="240" w:line="276" w:lineRule="auto"/>
        <w:ind w:right="-285"/>
      </w:pPr>
      <w:r>
        <w:t>No se recibirá favorablemente ninguna especie vegetal que incumpla los requisitos señalados en el Proyecto. La recepción favorable de las especies no implica su aceptación para la plantación si no son mantenidas en las condiciones exigidas en este Pliego.</w:t>
      </w:r>
    </w:p>
    <w:p w:rsidR="00C7085E" w:rsidRDefault="00C7085E" w:rsidP="00B71B1A">
      <w:pPr>
        <w:keepNext/>
        <w:spacing w:before="120" w:after="240" w:line="276" w:lineRule="auto"/>
        <w:ind w:right="-285"/>
        <w:rPr>
          <w:u w:val="single"/>
        </w:rPr>
      </w:pPr>
      <w:r>
        <w:rPr>
          <w:u w:val="single"/>
        </w:rPr>
        <w:t>Tolerancias</w:t>
      </w:r>
    </w:p>
    <w:p w:rsidR="00C7085E" w:rsidRDefault="00C7085E" w:rsidP="00B71B1A">
      <w:pPr>
        <w:spacing w:before="120" w:after="240" w:line="276" w:lineRule="auto"/>
        <w:ind w:right="-285"/>
      </w:pPr>
      <w:r>
        <w:t>Los árboles destinados a ser plantados en alineación tendrán el tronco derecho, no permitiéndose una flecha superior al diez por ciento (10%) en zona interurbana y al dos por ciento (2%) en zona urbana.</w:t>
      </w:r>
    </w:p>
    <w:p w:rsidR="00C7085E" w:rsidRDefault="00C7085E" w:rsidP="00B71B1A">
      <w:pPr>
        <w:spacing w:before="120" w:after="240" w:line="276" w:lineRule="auto"/>
        <w:ind w:right="-285"/>
      </w:pPr>
      <w:r>
        <w:t>Los arboles tendrán el tronco recto, sin inclinaciones, no permitiéndose una desviación superior al dos por ciento (2%).</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plantaciones se medirán por unidades (ud) realmente colocadas y se abonarán, en función de la especie y sus características, al precio que corresponda, de los que figuren en el Cuadro de Precios vigente de Canal de Isabel II Gestión.</w:t>
      </w:r>
    </w:p>
    <w:p w:rsidR="00C7085E" w:rsidRDefault="00C7085E" w:rsidP="00B71B1A">
      <w:pPr>
        <w:spacing w:before="120" w:after="240" w:line="276" w:lineRule="auto"/>
        <w:ind w:right="-285"/>
      </w:pPr>
      <w:r>
        <w:t>El precio comprende todos los materiales, mano de obra, operaciones y medios auxiliares para terminar completamente la unidad considerada, incluso el primer riego y la primera siega.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20" w:name="_Toc414021879"/>
      <w:bookmarkStart w:id="621" w:name="_Toc448741468"/>
      <w:r>
        <w:t>Siembras e hidrosiembras</w:t>
      </w:r>
      <w:bookmarkEnd w:id="620"/>
      <w:bookmarkEnd w:id="621"/>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 xml:space="preserve">Las semillas procederán de empresas especializadas acreditadas. Cada especie de semilla será suministrada en envase individual sellado o en sacos cosidos. En todas las partidas se indicará la especie botánica y, en su caso, la subespecie, variedad o cultivar a que pertenecen, así como su región de procedencia. </w:t>
      </w:r>
    </w:p>
    <w:p w:rsidR="00C7085E" w:rsidRDefault="00C7085E" w:rsidP="00B71B1A">
      <w:pPr>
        <w:spacing w:before="120" w:after="240" w:line="276" w:lineRule="auto"/>
        <w:ind w:right="-285"/>
      </w:pPr>
      <w:r>
        <w:t>Las semillas no presentarán enfermedad o plaga alguna, ni síntomas de haberlas padecido.</w:t>
      </w:r>
    </w:p>
    <w:p w:rsidR="00C7085E" w:rsidRDefault="00C7085E" w:rsidP="00B71B1A">
      <w:pPr>
        <w:spacing w:before="120" w:after="240" w:line="276" w:lineRule="auto"/>
        <w:ind w:right="-285"/>
      </w:pPr>
      <w:r>
        <w:t>Las semillas no se mezclarán antes de su inspección. En ningún caso se aceptarán mezclas pluriespecíficas comercializadas.</w:t>
      </w:r>
    </w:p>
    <w:p w:rsidR="00C7085E" w:rsidRDefault="00C7085E" w:rsidP="00B71B1A">
      <w:pPr>
        <w:spacing w:before="120" w:after="240" w:line="276" w:lineRule="auto"/>
        <w:ind w:right="-285"/>
      </w:pPr>
      <w:r>
        <w:lastRenderedPageBreak/>
        <w:t>Las partidas de semillas estarán a disposición de la Dirección de Obra con tiempo suficiente para poder comprobar su pureza y capacidad germinativa.</w:t>
      </w:r>
    </w:p>
    <w:p w:rsidR="00C7085E" w:rsidRDefault="00C7085E" w:rsidP="00B71B1A">
      <w:pPr>
        <w:spacing w:before="120" w:after="240" w:line="276" w:lineRule="auto"/>
        <w:ind w:right="-285"/>
      </w:pPr>
      <w:r>
        <w:t>Las semillas se almacenarán, cuando sea preciso, de forma que quede asegurada su idoneidad para el empleo. Este almacenamiento se realizará en lugar seco, de forma que los envases estén aislados del suelo. Se protegerá el acopio del ataque de animales granívoros.</w:t>
      </w:r>
    </w:p>
    <w:p w:rsidR="00C7085E" w:rsidRDefault="00C7085E" w:rsidP="00B71B1A">
      <w:pPr>
        <w:spacing w:before="120" w:after="240" w:line="276" w:lineRule="auto"/>
        <w:ind w:right="-285"/>
      </w:pPr>
      <w:r>
        <w:t>La sustitución de un material por otro solo será justificable por su falta en el mercado, o porque todo el material comercializado no reúna las exigencias de calidad exigibles. En cualquier caso, toda sustitución deberá ser expresamente autorizada por la Dirección de Obra, y en ningún caso dará origen a la formación de nuevos precios.</w:t>
      </w:r>
    </w:p>
    <w:p w:rsidR="00C7085E" w:rsidRDefault="00C7085E" w:rsidP="00B71B1A">
      <w:pPr>
        <w:spacing w:before="120" w:after="240" w:line="276" w:lineRule="auto"/>
        <w:ind w:right="-285"/>
      </w:pPr>
      <w:r>
        <w:t>El peso de la semilla pura viva, contenida en cada lote, no será inferior al noventa por ciento (90 %) del peso del material envasado, y la capacidad germinativa será igual o superior al ochenta y cinco por ciento (85 %).</w:t>
      </w:r>
    </w:p>
    <w:p w:rsidR="00C7085E" w:rsidRDefault="00C7085E" w:rsidP="00B71B1A">
      <w:pPr>
        <w:spacing w:before="120" w:after="240" w:line="276" w:lineRule="auto"/>
        <w:ind w:right="-285"/>
      </w:pPr>
      <w:r>
        <w:t>Si se justificase debidamente la falta de disponibilidad de semillas con estas características, la Dirección Facultativa podrá aceptar rebajar el peso de semilla pura viva hasta el ochenta por ciento (80 %), y de la capacidad germinativa hasta el setenta y cinco por ciento (75 %); siempre que se multiplique la dotación especificada por la razón entre siete mil seiscientos cincuenta (7.650) y el producto de la pureza por la capacidad germinativa, ambas expresadas en tanto por ciento (%).</w:t>
      </w:r>
    </w:p>
    <w:p w:rsidR="00C7085E" w:rsidRDefault="00C7085E" w:rsidP="00B71B1A">
      <w:pPr>
        <w:spacing w:before="120" w:after="240" w:line="276" w:lineRule="auto"/>
        <w:ind w:right="-285"/>
      </w:pPr>
      <w:r>
        <w:t xml:space="preserve">Las condiciones a cumplir por las semillas a utilizar en las hidrosiembras serán las aquí especificadas.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pStyle w:val="Prrafodelista"/>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Siembras</w:t>
      </w:r>
    </w:p>
    <w:p w:rsidR="00C7085E" w:rsidRDefault="00C7085E" w:rsidP="00B71B1A">
      <w:pPr>
        <w:spacing w:before="120" w:after="240" w:line="276" w:lineRule="auto"/>
        <w:ind w:right="-285"/>
        <w:rPr>
          <w:lang w:val="es-ES_tradnl"/>
        </w:rPr>
      </w:pPr>
      <w:r>
        <w:t>La siembra se ejecutará mediante sembradoras. La distribución de semillas y abonos deberá ser homogénea, cubriendo todas las superficies a tratar. La sembradora deberá rastrillar las superficies sembradas a medida que pasa, para enterrar las semillas. La siembra se realizará en dos (2) direcciones perpendiculares entre sí. Estas dos (2) pasadas podrán reducirse a una (1) cuando se den garantías de una buena distribución de la semilla de esta manera.</w:t>
      </w:r>
    </w:p>
    <w:p w:rsidR="00C7085E" w:rsidRDefault="00C7085E" w:rsidP="00B71B1A">
      <w:pPr>
        <w:spacing w:before="120" w:after="240" w:line="276" w:lineRule="auto"/>
        <w:ind w:right="-285"/>
      </w:pPr>
      <w:r>
        <w:t>En superficies pequeñas, o de difícil acceso, se emplearán sembradoras manuales, o se realizará de forma manual “a voleo”, mezclando también semillas y abonos, y procediendo después a un rastrillado que cubra ambos materiales.</w:t>
      </w:r>
    </w:p>
    <w:p w:rsidR="00C7085E" w:rsidRDefault="00C7085E" w:rsidP="00B71B1A">
      <w:pPr>
        <w:spacing w:before="120" w:after="240" w:line="276" w:lineRule="auto"/>
        <w:ind w:right="-285"/>
      </w:pPr>
      <w:r>
        <w:t>Tras la siembra, si esta no se ha realizado con un tractor con sembradora, se deberá rastrillar el terreno para cubrir las semillas.</w:t>
      </w:r>
    </w:p>
    <w:p w:rsidR="00C7085E" w:rsidRDefault="00C7085E" w:rsidP="00B71B1A">
      <w:pPr>
        <w:spacing w:before="120" w:after="240" w:line="276" w:lineRule="auto"/>
        <w:ind w:right="-285"/>
      </w:pPr>
      <w:r>
        <w:t>En el caso de que, a la finalización de las siembras, no se dispusiese aún de los sistemas de riego previstos, se llevarán a cabo riegos de mantenimiento hasta la entrada en servicio de dichos sistemas de riego, de modo que se garantice la supervivencia de las siembras realizadas.</w:t>
      </w:r>
    </w:p>
    <w:p w:rsidR="00C7085E" w:rsidRDefault="00C7085E" w:rsidP="00B71B1A">
      <w:pPr>
        <w:keepNext/>
        <w:keepLines/>
        <w:spacing w:before="120" w:after="240" w:line="276" w:lineRule="auto"/>
        <w:ind w:right="-285"/>
      </w:pPr>
      <w:r>
        <w:lastRenderedPageBreak/>
        <w:t>Salvo que la Dirección de Obra autorice expresamente a realizarlas en otra época, las siembras se realizarán en el periodo comprendido entre finales del mes de febrero y finales de abril, en días sin viento y suelo con tempero. La siembra será siempre anterior a las plantaciones que se efectúen en la misma zona.</w:t>
      </w:r>
    </w:p>
    <w:p w:rsidR="00C7085E" w:rsidRDefault="00C7085E" w:rsidP="00B71B1A">
      <w:pPr>
        <w:spacing w:before="120" w:after="240" w:line="276" w:lineRule="auto"/>
        <w:ind w:right="-285"/>
      </w:pPr>
      <w:r>
        <w:t>El Adjudicatario se compromete a resembrar aquellas zonas donde el porcentaje de la superficie de zonas desnudas en relación a la superficie total de siembra sea superior al cinco por ciento (5%) y, en todo caso, cualquier superficie unitaria sin vegetación superior a medio metro cuadrado (0,5 m</w:t>
      </w:r>
      <w:r>
        <w:rPr>
          <w:vertAlign w:val="superscript"/>
        </w:rPr>
        <w:t>2</w:t>
      </w:r>
      <w:r>
        <w:t xml:space="preserve">). </w:t>
      </w:r>
    </w:p>
    <w:p w:rsidR="00C7085E" w:rsidRDefault="00C7085E" w:rsidP="00B71B1A">
      <w:pPr>
        <w:spacing w:before="120" w:after="240" w:line="276" w:lineRule="auto"/>
        <w:ind w:right="-285"/>
      </w:pPr>
      <w:r>
        <w:t>En caso de superarse estos valores límite, se procederá a realizar un estudio de las posibles causas de los resultados negativos. Se podrá cambiar la mezcla de componentes para la resiembra en función de los resultados obtenidos, siempre con la autorización previa de la Dirección de Obra.</w:t>
      </w:r>
    </w:p>
    <w:p w:rsidR="00C7085E" w:rsidRDefault="00C7085E" w:rsidP="00B71B1A">
      <w:pPr>
        <w:pStyle w:val="Prrafodelista"/>
        <w:keepNext/>
        <w:keepLines/>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Hidrosiembras</w:t>
      </w:r>
    </w:p>
    <w:p w:rsidR="00C7085E" w:rsidRDefault="00C7085E" w:rsidP="00B71B1A">
      <w:pPr>
        <w:keepNext/>
        <w:keepLines/>
        <w:spacing w:before="120" w:after="240" w:line="276" w:lineRule="auto"/>
        <w:ind w:right="-285"/>
        <w:rPr>
          <w:lang w:val="es-ES_tradnl"/>
        </w:rPr>
      </w:pPr>
      <w:r>
        <w:t>La hidrosiembra es un procedimiento especialmente adecuado para el tratamiento de grandes superficies y para la siembra en taludes de fuertes pendientes o de acceso difícil donde otros medios de operación directa resultan menos eficaces.</w:t>
      </w:r>
    </w:p>
    <w:p w:rsidR="00C7085E" w:rsidRDefault="00C7085E" w:rsidP="00B71B1A">
      <w:pPr>
        <w:spacing w:before="120" w:after="240" w:line="276" w:lineRule="auto"/>
        <w:ind w:right="-285"/>
      </w:pPr>
      <w:r>
        <w:t>Desde el momento en que se mezclan las semillas hasta el momento en que se inicia la operación de hidrosiembra no transcurrirán más de veinte minutos.</w:t>
      </w:r>
    </w:p>
    <w:p w:rsidR="00C7085E" w:rsidRDefault="00C7085E" w:rsidP="00B71B1A">
      <w:pPr>
        <w:spacing w:before="120" w:after="240" w:line="276" w:lineRule="auto"/>
        <w:ind w:right="-285"/>
      </w:pPr>
      <w:r>
        <w:t>La hidrosiembra se realizará a través del cañón de la hidrosembradora, si es posible el acceso hasta el punto de siembra, o en caso contrario, por medio de una o varias mangueras enchufadas al cañón. La expulsión de la mezcla se realizará de tal manera que no incida directamente el chorro en la superficie a sembrar para evitar que durante la operación se produzcan movimientos de finos en el talud y describiendo círculos, o en zig</w:t>
      </w:r>
      <w:r>
        <w:noBreakHyphen/>
        <w:t>zag, para evitar que la mezcla proyectada escurra por el talud La distancia entre la boca del cañón (o de la manguera) y la superficie a tratar es función de la potencia de expulsión de la bomba, oscilando entre los veinte y los cincuenta metros (20 y 50 m), y deberá ajustarse en obra, realizando las pruebas pertinentes a fin de evitar los efectos antes indicados.</w:t>
      </w:r>
    </w:p>
    <w:p w:rsidR="00C7085E" w:rsidRDefault="00C7085E" w:rsidP="00B71B1A">
      <w:pPr>
        <w:spacing w:before="120" w:after="240" w:line="276" w:lineRule="auto"/>
        <w:ind w:right="-285"/>
      </w:pPr>
      <w:r>
        <w:t>En el caso de taludes cuya base no sea accesible, debe recurrirse a situar mangueras de forma que otro operador pueda dirigir el chorro desde abajo. Esta misma precaución se ha de tomar cuando hay vientos fuertes, o tenga lugar cualquier otra circunstancia que haga previsible una distribución imperfecta cuando se lanza el chorro desde la hidrosembradora.</w:t>
      </w:r>
    </w:p>
    <w:p w:rsidR="00C7085E" w:rsidRDefault="00C7085E" w:rsidP="00B71B1A">
      <w:pPr>
        <w:spacing w:before="120" w:after="240" w:line="276" w:lineRule="auto"/>
        <w:ind w:right="-285"/>
      </w:pPr>
      <w:r>
        <w:t>Se protegerá la plataforma de contaminación con la mezcla de la hidrosiembra (lonas, planchas de madera, etc.).</w:t>
      </w:r>
    </w:p>
    <w:p w:rsidR="00C7085E" w:rsidRDefault="00C7085E" w:rsidP="00B71B1A">
      <w:pPr>
        <w:spacing w:before="120" w:after="240" w:line="276" w:lineRule="auto"/>
        <w:ind w:right="-285"/>
      </w:pPr>
      <w:r>
        <w:t>Las hidrosiembras se realizarán en la totalidad de las áreas a revegetar, y en el cien por cien (100%) de sus superficies, dando una o varias pasadas con el fin de fomentar la rápida colonización vegetal de dichas áreas, evitando así la aparición de fenómenos erosivos en ellas.</w:t>
      </w:r>
    </w:p>
    <w:p w:rsidR="00C7085E" w:rsidRDefault="00C7085E" w:rsidP="00B71B1A">
      <w:pPr>
        <w:spacing w:before="120" w:after="240" w:line="276" w:lineRule="auto"/>
        <w:ind w:right="-285"/>
      </w:pPr>
      <w:r>
        <w:lastRenderedPageBreak/>
        <w:t>Se utilizarán mezclas de semillas de especies herbáceas diferentes, que permiten una mayor diversidad en el crecimiento y desarrollo de las plántulas, asegurando su eficacia.</w:t>
      </w:r>
    </w:p>
    <w:p w:rsidR="00C7085E" w:rsidRDefault="00C7085E" w:rsidP="00B71B1A">
      <w:pPr>
        <w:spacing w:before="120" w:after="240" w:line="276" w:lineRule="auto"/>
        <w:ind w:right="-285"/>
      </w:pPr>
      <w:r>
        <w:t>Las épocas más indicadas para la ejecución de las hidrosiembras son el otoño y la primavera, por este orden de preferencia, en días sin viento y con suelo poco o nada húmedo.</w:t>
      </w:r>
    </w:p>
    <w:p w:rsidR="00C7085E" w:rsidRDefault="00C7085E" w:rsidP="00B71B1A">
      <w:pPr>
        <w:spacing w:before="120" w:after="240" w:line="276" w:lineRule="auto"/>
        <w:ind w:right="-285"/>
      </w:pPr>
      <w:r>
        <w:t>No se llevarán a cabo hidrosiembras si el pronóstico del tiempo prevé que se produzcan lluvias copiosas o tormentas que producirían el lavado y arrastre de la mezcla de semillas.</w:t>
      </w:r>
    </w:p>
    <w:p w:rsidR="00C7085E" w:rsidRDefault="00C7085E" w:rsidP="00B71B1A">
      <w:pPr>
        <w:spacing w:before="120" w:after="240" w:line="276" w:lineRule="auto"/>
        <w:ind w:right="-285"/>
      </w:pPr>
      <w:r>
        <w:t>Las superficies hidrosembradas deben ser objeto de riegos. Los primeros riegos se realizarán en forma de lluvia fina, para evitar que sea arrastrada mucha semilla y haga perder uniformidad al acumularse en determinados sitios, produciéndose calvas en otros.</w:t>
      </w:r>
    </w:p>
    <w:p w:rsidR="00C7085E" w:rsidRDefault="00C7085E" w:rsidP="00B71B1A">
      <w:pPr>
        <w:spacing w:before="120" w:after="240" w:line="276" w:lineRule="auto"/>
        <w:ind w:right="-285"/>
      </w:pPr>
      <w:r>
        <w:t>La aportación de agua se realizará de forma que llegue al suelo de manera suave, en forma de lluvia fina, de tal manera que no arrastre ni la semilla ni los materiales complementarios utilizados, vaciando zonas y recargando otras.</w:t>
      </w:r>
    </w:p>
    <w:p w:rsidR="00C7085E" w:rsidRDefault="00C7085E" w:rsidP="00B71B1A">
      <w:pPr>
        <w:spacing w:before="120" w:after="240" w:line="276" w:lineRule="auto"/>
        <w:ind w:right="-285"/>
      </w:pPr>
      <w:r>
        <w:t>Las dotaciones de los riegos serán tales que no se produzcan escorrentías apreciables, en todo caso se han de evitar el desplazamiento superficial de las semillas y materiales, así como el descalzamiento de las plantas jóvenes.</w:t>
      </w:r>
    </w:p>
    <w:p w:rsidR="00C7085E" w:rsidRDefault="00C7085E" w:rsidP="00B71B1A">
      <w:pPr>
        <w:spacing w:before="120" w:after="240" w:line="276" w:lineRule="auto"/>
        <w:ind w:right="-285"/>
      </w:pPr>
      <w:r>
        <w:t>El momento de ejecución de los riegos se determinará teniendo en cuenta las condiciones climáticas y ambientales reales que tienen lugar después de efectuada la hidrosiembra. La Dirección de Obra podrá autorizar una variación en la frecuencia y dosis del riego, si las condiciones ambientales así lo justifican.</w:t>
      </w:r>
    </w:p>
    <w:p w:rsidR="00C7085E" w:rsidRDefault="00C7085E" w:rsidP="00B71B1A">
      <w:pPr>
        <w:spacing w:before="120" w:after="240" w:line="276" w:lineRule="auto"/>
        <w:ind w:right="-285"/>
      </w:pPr>
      <w:r>
        <w:t>Para evitar fuertes evaporaciones y para aprovechar al máximo el agua, los riegos se efectuarán en las primeras horas de la mañana y en las últimas horas de la tarde y no se regará en días de fuerte viento.</w:t>
      </w:r>
    </w:p>
    <w:p w:rsidR="00C7085E" w:rsidRDefault="00C7085E" w:rsidP="00B71B1A">
      <w:pPr>
        <w:spacing w:before="120" w:after="240" w:line="276" w:lineRule="auto"/>
        <w:ind w:right="-285"/>
      </w:pPr>
      <w:r>
        <w:t>La dosis de cada riego será de tres litros de agua por metro cuadrado de superficie (3 l/m</w:t>
      </w:r>
      <w:r>
        <w:rPr>
          <w:vertAlign w:val="superscript"/>
        </w:rPr>
        <w:t>2</w:t>
      </w:r>
      <w:r>
        <w:t>).</w:t>
      </w:r>
    </w:p>
    <w:p w:rsidR="00C7085E" w:rsidRDefault="00C7085E" w:rsidP="00B71B1A">
      <w:pPr>
        <w:spacing w:before="120" w:after="240" w:line="276" w:lineRule="auto"/>
        <w:ind w:right="-285"/>
      </w:pPr>
      <w:r>
        <w:t>El Adjudicatario deberá resembrar aquellas zonas donde el porcentaje de la superficie de zonas desnudas en relación a la superficie total de hidrosiembra sea superior al cinco por ciento (5%) y, en todo caso, cualquier superficie unitaria sin vegetación superior a tres metros cuadrados (3 m</w:t>
      </w:r>
      <w:r>
        <w:rPr>
          <w:vertAlign w:val="superscript"/>
        </w:rPr>
        <w:t>2</w:t>
      </w:r>
      <w:r>
        <w:t xml:space="preserve">). </w:t>
      </w:r>
    </w:p>
    <w:p w:rsidR="00C7085E" w:rsidRDefault="00C7085E" w:rsidP="00B71B1A">
      <w:pPr>
        <w:spacing w:before="120" w:after="240" w:line="276" w:lineRule="auto"/>
        <w:ind w:right="-285"/>
      </w:pPr>
      <w:r>
        <w:t>En caso de superarse estos valores límite, se procederá a realizar un estudio de las posibles causas de los resultados negativos. Se podrá cambiar la mezcla de componentes para la resiembra en función de los resultados obtenidos, siempre con la autorización previa de la Dirección de Obra.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 xml:space="preserve">Se facilitará un certificado oficial de garantía de origen, pureza y capacidad germinativa de las semillas, con garantías suficientes a juicio de la Dirección de Obra procediéndose a su análisis en laboratorios acreditados según las normas de la Asociación Internacional de </w:t>
      </w:r>
      <w:r>
        <w:lastRenderedPageBreak/>
        <w:t>Ensayos de Semillas (1993), si sus condiciones no se considerasen suficientemente garantizadas.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El césped y las gramíneas se medirán por metros cuadrados (m</w:t>
      </w:r>
      <w:r>
        <w:rPr>
          <w:vertAlign w:val="superscript"/>
        </w:rPr>
        <w:t>2</w:t>
      </w:r>
      <w:r>
        <w:t>) de superficie ajardinada y se abonarán al precio que corresponda de los comprendidos en el Cuadro de Precios vigente de Canal de Isabel II Gestión.</w:t>
      </w:r>
    </w:p>
    <w:p w:rsidR="00C7085E" w:rsidRPr="00D365C9" w:rsidRDefault="00C7085E" w:rsidP="00B71B1A">
      <w:pPr>
        <w:spacing w:before="120" w:after="240" w:line="276" w:lineRule="auto"/>
        <w:ind w:right="-285"/>
      </w:pPr>
      <w:r>
        <w:t xml:space="preserve">El precio incluye todos los materiales, mano de obra y medios auxiliares, así como los </w:t>
      </w:r>
      <w:r w:rsidRPr="00D365C9">
        <w:t>primeros riegos necesarios.</w:t>
      </w:r>
    </w:p>
    <w:p w:rsidR="009A4BDC" w:rsidRPr="00894B2B" w:rsidRDefault="00E77B39" w:rsidP="00B71B1A">
      <w:pPr>
        <w:pStyle w:val="Ttulo2"/>
        <w:numPr>
          <w:ilvl w:val="1"/>
          <w:numId w:val="5"/>
        </w:numPr>
        <w:snapToGrid/>
        <w:spacing w:before="400" w:after="400" w:line="276" w:lineRule="auto"/>
        <w:ind w:left="0" w:right="-285"/>
        <w:rPr>
          <w:caps w:val="0"/>
        </w:rPr>
      </w:pPr>
      <w:bookmarkStart w:id="622" w:name="_Toc448741469"/>
      <w:r w:rsidRPr="00E77B39">
        <w:rPr>
          <w:caps w:val="0"/>
        </w:rPr>
        <w:t>OTROS</w:t>
      </w:r>
      <w:bookmarkEnd w:id="622"/>
    </w:p>
    <w:p w:rsidR="009A4BDC" w:rsidRPr="00D365C9" w:rsidRDefault="009A4BDC"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23" w:name="_Toc448741470"/>
      <w:r w:rsidRPr="00D365C9">
        <w:t>Dovelas prefabricadas</w:t>
      </w:r>
      <w:bookmarkEnd w:id="623"/>
    </w:p>
    <w:p w:rsidR="00D365C9" w:rsidRPr="00D365C9" w:rsidRDefault="00D365C9" w:rsidP="00B71B1A">
      <w:pPr>
        <w:pStyle w:val="Ttulo4"/>
        <w:keepNext w:val="0"/>
        <w:widowControl/>
        <w:numPr>
          <w:ilvl w:val="3"/>
          <w:numId w:val="5"/>
        </w:numPr>
        <w:suppressAutoHyphens/>
        <w:autoSpaceDE/>
        <w:autoSpaceDN/>
        <w:adjustRightInd/>
        <w:spacing w:before="120" w:after="240" w:line="276" w:lineRule="auto"/>
        <w:ind w:left="482" w:right="-285" w:hanging="142"/>
      </w:pPr>
      <w:r w:rsidRPr="00D365C9">
        <w:t>Materiales</w:t>
      </w:r>
    </w:p>
    <w:p w:rsidR="00D365C9" w:rsidRPr="00D365C9" w:rsidRDefault="00D365C9" w:rsidP="00B71B1A">
      <w:pPr>
        <w:spacing w:before="120" w:after="240" w:line="276" w:lineRule="auto"/>
        <w:ind w:right="-285"/>
      </w:pPr>
      <w:r w:rsidRPr="00D365C9">
        <w:t>Las materias primas utilizadas en la fabricación de las dovelas prefabricadas deberán cumplir las especificaciones establecidas en la Instrucción de Hormigón Estructural (EHE).</w:t>
      </w:r>
    </w:p>
    <w:p w:rsidR="00D365C9" w:rsidRPr="00D365C9" w:rsidRDefault="00D365C9" w:rsidP="00B71B1A">
      <w:pPr>
        <w:pStyle w:val="Ttulo4"/>
        <w:keepNext w:val="0"/>
        <w:widowControl/>
        <w:numPr>
          <w:ilvl w:val="3"/>
          <w:numId w:val="5"/>
        </w:numPr>
        <w:suppressAutoHyphens/>
        <w:autoSpaceDE/>
        <w:autoSpaceDN/>
        <w:adjustRightInd/>
        <w:spacing w:before="120" w:after="240" w:line="276" w:lineRule="auto"/>
        <w:ind w:left="482" w:right="-285" w:hanging="142"/>
      </w:pPr>
      <w:r w:rsidRPr="00D365C9">
        <w:t>Ejecución</w:t>
      </w:r>
    </w:p>
    <w:p w:rsidR="00D365C9" w:rsidRPr="00D365C9" w:rsidRDefault="00D365C9" w:rsidP="00B71B1A">
      <w:pPr>
        <w:spacing w:before="120" w:after="240" w:line="276" w:lineRule="auto"/>
        <w:ind w:right="-285"/>
      </w:pPr>
      <w:r w:rsidRPr="00D365C9">
        <w:t>Se ejecutarán con arreglo a lo dispuesto en el Artículo 76º de la Instrucción de Hormigón Estructural EHE-08.</w:t>
      </w:r>
    </w:p>
    <w:p w:rsidR="00D365C9" w:rsidRPr="00D365C9" w:rsidRDefault="00D365C9" w:rsidP="00B71B1A">
      <w:pPr>
        <w:pStyle w:val="Ttulo4"/>
        <w:keepNext w:val="0"/>
        <w:widowControl/>
        <w:numPr>
          <w:ilvl w:val="3"/>
          <w:numId w:val="5"/>
        </w:numPr>
        <w:suppressAutoHyphens/>
        <w:autoSpaceDE/>
        <w:autoSpaceDN/>
        <w:adjustRightInd/>
        <w:spacing w:before="120" w:after="240" w:line="276" w:lineRule="auto"/>
        <w:ind w:left="482" w:right="-285" w:hanging="142"/>
      </w:pPr>
      <w:r w:rsidRPr="00D365C9">
        <w:t>Control de calidad</w:t>
      </w:r>
    </w:p>
    <w:p w:rsidR="00D365C9" w:rsidRPr="00D365C9" w:rsidRDefault="00D365C9" w:rsidP="00B71B1A">
      <w:pPr>
        <w:spacing w:before="120" w:after="240" w:line="276" w:lineRule="auto"/>
        <w:ind w:right="-285"/>
      </w:pPr>
      <w:r w:rsidRPr="00D365C9">
        <w:t>Para el control de la producción en fábrica se aplicará el apartado 6.3 de la UNE-EN 13369: “</w:t>
      </w:r>
      <w:r w:rsidRPr="00D365C9">
        <w:rPr>
          <w:i/>
        </w:rPr>
        <w:t>Reglas comunes para productos prefabricados de hormigón</w:t>
      </w:r>
      <w:r w:rsidRPr="00D365C9">
        <w:t>”.</w:t>
      </w:r>
    </w:p>
    <w:p w:rsidR="00D365C9" w:rsidRPr="00D365C9" w:rsidRDefault="00D365C9" w:rsidP="00B71B1A">
      <w:pPr>
        <w:pStyle w:val="Ttulo4"/>
        <w:keepNext w:val="0"/>
        <w:widowControl/>
        <w:numPr>
          <w:ilvl w:val="3"/>
          <w:numId w:val="5"/>
        </w:numPr>
        <w:suppressAutoHyphens/>
        <w:autoSpaceDE/>
        <w:autoSpaceDN/>
        <w:adjustRightInd/>
        <w:spacing w:before="120" w:after="240" w:line="276" w:lineRule="auto"/>
        <w:ind w:left="482" w:right="-285" w:hanging="142"/>
      </w:pPr>
      <w:r w:rsidRPr="00D365C9">
        <w:t>Medición y abono</w:t>
      </w:r>
    </w:p>
    <w:p w:rsidR="00D365C9" w:rsidRPr="00D365C9" w:rsidRDefault="00D365C9" w:rsidP="00B71B1A">
      <w:pPr>
        <w:spacing w:before="120" w:after="240" w:line="276" w:lineRule="auto"/>
        <w:ind w:right="-285"/>
      </w:pPr>
      <w:r w:rsidRPr="00D365C9">
        <w:t>Se medirán por unidades del tipo correspondiente realmente colocadas. Esta unidad incluye encofrados, armaduras y cualquier elemento o material auxiliar necesario para su completa ejecución.</w:t>
      </w:r>
    </w:p>
    <w:p w:rsidR="00D365C9" w:rsidRPr="00D365C9" w:rsidRDefault="00D365C9"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24" w:name="_Toc448741471"/>
      <w:r w:rsidRPr="00D365C9">
        <w:t>Gunitado</w:t>
      </w:r>
      <w:bookmarkEnd w:id="624"/>
    </w:p>
    <w:p w:rsidR="00D365C9" w:rsidRPr="00D365C9" w:rsidRDefault="00D365C9" w:rsidP="00B71B1A">
      <w:pPr>
        <w:pStyle w:val="Ttulo4"/>
        <w:keepNext w:val="0"/>
        <w:widowControl/>
        <w:numPr>
          <w:ilvl w:val="3"/>
          <w:numId w:val="5"/>
        </w:numPr>
        <w:suppressAutoHyphens/>
        <w:autoSpaceDE/>
        <w:autoSpaceDN/>
        <w:adjustRightInd/>
        <w:spacing w:before="120" w:after="240" w:line="276" w:lineRule="auto"/>
        <w:ind w:left="482" w:right="-285" w:hanging="142"/>
      </w:pPr>
      <w:r w:rsidRPr="00D365C9">
        <w:t>Ejecución</w:t>
      </w:r>
    </w:p>
    <w:p w:rsidR="00D365C9" w:rsidRPr="00B65163" w:rsidRDefault="00D365C9" w:rsidP="00B71B1A">
      <w:pPr>
        <w:spacing w:line="276" w:lineRule="auto"/>
        <w:ind w:right="-285"/>
      </w:pPr>
      <w:r w:rsidRPr="00D365C9">
        <w:t>El hormigón proyectado gunitado será de hasta 10 cm de espesor y fraguado rápido, con malla electrosoldada de triple torsión ME 10x10, y 5 mm de diámetro, acero B500T 6x2</w:t>
      </w:r>
      <w:proofErr w:type="gramStart"/>
      <w:r w:rsidRPr="00D365C9">
        <w:t>,20</w:t>
      </w:r>
      <w:proofErr w:type="gramEnd"/>
      <w:r w:rsidRPr="00D365C9">
        <w:t>, conforme a norma UNE 36092 y según la normativa vigente.</w:t>
      </w:r>
    </w:p>
    <w:p w:rsidR="00D365C9" w:rsidRDefault="00D365C9"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9A4BDC" w:rsidRDefault="00D365C9" w:rsidP="00B71B1A">
      <w:pPr>
        <w:spacing w:before="120" w:after="240" w:line="276" w:lineRule="auto"/>
        <w:ind w:right="-285"/>
      </w:pPr>
      <w:r>
        <w:t xml:space="preserve">El hormigón proyectado gunitado </w:t>
      </w:r>
      <w:r w:rsidRPr="00A35DA0">
        <w:t>se medirá por metros c</w:t>
      </w:r>
      <w:r>
        <w:t>uadrados</w:t>
      </w:r>
      <w:r w:rsidRPr="00A35DA0">
        <w:t xml:space="preserve"> realmente ejecutados, medidos con arreglo a lo señalado en los Planos del Proyecto.</w:t>
      </w:r>
    </w:p>
    <w:p w:rsidR="00C7085E" w:rsidRPr="00EF3DE9" w:rsidRDefault="00C7085E" w:rsidP="00B71B1A">
      <w:pPr>
        <w:pStyle w:val="Ttulo1"/>
        <w:pageBreakBefore/>
        <w:suppressAutoHyphens/>
        <w:spacing w:before="0" w:after="240" w:line="276" w:lineRule="auto"/>
        <w:ind w:left="1985" w:right="-285" w:hanging="1985"/>
        <w:jc w:val="both"/>
        <w:rPr>
          <w:szCs w:val="20"/>
        </w:rPr>
      </w:pPr>
      <w:bookmarkStart w:id="625" w:name="_Toc414200190"/>
      <w:bookmarkStart w:id="626" w:name="_Toc414200412"/>
      <w:bookmarkStart w:id="627" w:name="_Toc414021880"/>
      <w:bookmarkStart w:id="628" w:name="_Toc448741472"/>
      <w:bookmarkEnd w:id="625"/>
      <w:bookmarkEnd w:id="626"/>
      <w:r w:rsidRPr="00EF3DE9">
        <w:rPr>
          <w:szCs w:val="20"/>
        </w:rPr>
        <w:lastRenderedPageBreak/>
        <w:t>EQUIPOS MECÁNICOS</w:t>
      </w:r>
      <w:bookmarkEnd w:id="627"/>
      <w:bookmarkEnd w:id="628"/>
      <w:r w:rsidRPr="00EF3DE9">
        <w:rPr>
          <w:szCs w:val="20"/>
        </w:rPr>
        <w:t xml:space="preserve"> </w:t>
      </w:r>
    </w:p>
    <w:p w:rsidR="00894B2B" w:rsidRPr="0071105C" w:rsidRDefault="00894B2B" w:rsidP="00B71B1A">
      <w:pPr>
        <w:pStyle w:val="Prrafodelista"/>
        <w:keepNext/>
        <w:numPr>
          <w:ilvl w:val="0"/>
          <w:numId w:val="5"/>
        </w:numPr>
        <w:tabs>
          <w:tab w:val="left" w:pos="2268"/>
        </w:tabs>
        <w:snapToGrid/>
        <w:spacing w:after="0"/>
        <w:ind w:left="2058" w:right="-285" w:hanging="357"/>
        <w:contextualSpacing w:val="0"/>
        <w:outlineLvl w:val="1"/>
        <w:rPr>
          <w:rFonts w:ascii="Arial" w:eastAsia="Times New Roman" w:hAnsi="Arial" w:cs="Times New Roman"/>
          <w:b/>
          <w:vanish/>
          <w:sz w:val="2"/>
          <w:szCs w:val="2"/>
          <w:lang w:eastAsia="es-ES"/>
        </w:rPr>
      </w:pPr>
      <w:bookmarkStart w:id="629" w:name="_Toc414021881"/>
    </w:p>
    <w:p w:rsidR="00C7085E" w:rsidRPr="00894B2B" w:rsidRDefault="00E77B39" w:rsidP="00B71B1A">
      <w:pPr>
        <w:pStyle w:val="Ttulo2"/>
        <w:numPr>
          <w:ilvl w:val="1"/>
          <w:numId w:val="5"/>
        </w:numPr>
        <w:snapToGrid/>
        <w:spacing w:before="400" w:after="400" w:line="276" w:lineRule="auto"/>
        <w:ind w:left="0" w:right="-285"/>
        <w:rPr>
          <w:caps w:val="0"/>
        </w:rPr>
      </w:pPr>
      <w:bookmarkStart w:id="630" w:name="_Toc448741473"/>
      <w:r w:rsidRPr="00E77B39">
        <w:rPr>
          <w:caps w:val="0"/>
        </w:rPr>
        <w:t>ESPECIFICACIONES GENERALES</w:t>
      </w:r>
      <w:bookmarkEnd w:id="629"/>
      <w:bookmarkEnd w:id="630"/>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31" w:name="_Toc414021882"/>
      <w:bookmarkStart w:id="632" w:name="_Toc448741474"/>
      <w:r>
        <w:t>Acabados de superficies</w:t>
      </w:r>
      <w:bookmarkEnd w:id="631"/>
      <w:bookmarkEnd w:id="632"/>
    </w:p>
    <w:p w:rsidR="00C7085E" w:rsidRDefault="00C7085E" w:rsidP="00B71B1A">
      <w:pPr>
        <w:spacing w:before="120" w:after="240" w:line="276" w:lineRule="auto"/>
        <w:ind w:right="-285"/>
      </w:pPr>
      <w:r>
        <w:rPr>
          <w:rFonts w:cs="Arial"/>
        </w:rPr>
        <w:t>El presente artículo tiene por objeto establecer los requisitos técnicos necesarios para el tratamiento y pintado de depósitos, estructuras, tuberías, soportes, accesorios, etc., construidos total o parcialmente con perfiles, chapas o tuberías en acero al carbono, así como elementos de fundición. Es aplicable a componentes aéreos, sumergidos en agua y enterrados.</w:t>
      </w:r>
    </w:p>
    <w:p w:rsidR="00C7085E" w:rsidRDefault="00C7085E" w:rsidP="00B71B1A">
      <w:pPr>
        <w:spacing w:before="120" w:after="240" w:line="276" w:lineRule="auto"/>
        <w:ind w:right="-285"/>
        <w:rPr>
          <w:u w:val="single"/>
        </w:rPr>
      </w:pPr>
      <w:r>
        <w:rPr>
          <w:u w:val="single"/>
        </w:rPr>
        <w:t>Preparación de superficies</w:t>
      </w:r>
    </w:p>
    <w:p w:rsidR="00C7085E" w:rsidRDefault="00C7085E" w:rsidP="00B71B1A">
      <w:pPr>
        <w:spacing w:before="120" w:after="240" w:line="276" w:lineRule="auto"/>
        <w:ind w:right="-285"/>
      </w:pPr>
      <w:r>
        <w:t>1.- Limpieza</w:t>
      </w:r>
    </w:p>
    <w:p w:rsidR="00C7085E" w:rsidRDefault="00C7085E" w:rsidP="00B71B1A">
      <w:pPr>
        <w:spacing w:before="120" w:after="240" w:line="276" w:lineRule="auto"/>
        <w:ind w:right="-285"/>
      </w:pPr>
      <w:r>
        <w:t>Las grasas, aceites, suciedad y humedad deberán ser eliminados con paños o cepillos humedecidos en disolventes.</w:t>
      </w:r>
    </w:p>
    <w:p w:rsidR="00C7085E" w:rsidRDefault="00C7085E" w:rsidP="00B71B1A">
      <w:pPr>
        <w:spacing w:before="120" w:after="240" w:line="276" w:lineRule="auto"/>
        <w:ind w:right="-285"/>
      </w:pPr>
      <w:r>
        <w:t>Todas las salpicaduras de soldadura, los cantos vivos y los defectos de laminación serán eliminados con muelas u otras herramientas adecuadas.</w:t>
      </w:r>
    </w:p>
    <w:p w:rsidR="00C7085E" w:rsidRDefault="00C7085E" w:rsidP="00B71B1A">
      <w:pPr>
        <w:spacing w:before="120" w:after="240" w:line="276" w:lineRule="auto"/>
        <w:ind w:right="-285"/>
      </w:pPr>
      <w:r>
        <w:t>Eliminación de óxido.</w:t>
      </w:r>
    </w:p>
    <w:p w:rsidR="00C7085E" w:rsidRDefault="00C7085E" w:rsidP="00B71B1A">
      <w:pPr>
        <w:spacing w:before="120" w:after="240" w:line="276" w:lineRule="auto"/>
        <w:ind w:right="-285"/>
      </w:pPr>
      <w:r>
        <w:t>2.- Chorreado</w:t>
      </w:r>
    </w:p>
    <w:p w:rsidR="00C7085E" w:rsidRDefault="00C7085E" w:rsidP="00B71B1A">
      <w:pPr>
        <w:spacing w:before="120" w:after="240" w:line="276" w:lineRule="auto"/>
        <w:ind w:right="-285"/>
        <w:rPr>
          <w:szCs w:val="22"/>
        </w:rPr>
      </w:pPr>
      <w:r>
        <w:t xml:space="preserve">Todas las superficies de acero que posteriormente deban ser pintadas, se prepararán mediante limpieza por chorreado abrasivo. El proceso se regirá por la norma UNE-EN ISO 8501 y se conseguirá un chorreado abrasivo “a metal casi blanco”, correspondiendo a un grado SA 2 </w:t>
      </w:r>
      <w:r>
        <w:rPr>
          <w:szCs w:val="22"/>
        </w:rPr>
        <w:t>½ según dicha norma.</w:t>
      </w:r>
    </w:p>
    <w:p w:rsidR="00C7085E" w:rsidRDefault="00C7085E" w:rsidP="00B71B1A">
      <w:pPr>
        <w:spacing w:before="120" w:after="240" w:line="276" w:lineRule="auto"/>
        <w:ind w:right="-285"/>
        <w:rPr>
          <w:szCs w:val="22"/>
        </w:rPr>
      </w:pPr>
      <w:r>
        <w:rPr>
          <w:szCs w:val="22"/>
        </w:rPr>
        <w:t>3.- Limpieza de la superficie chorreada</w:t>
      </w:r>
    </w:p>
    <w:p w:rsidR="00C7085E" w:rsidRDefault="00C7085E" w:rsidP="00B71B1A">
      <w:pPr>
        <w:spacing w:before="120" w:after="240" w:line="276" w:lineRule="auto"/>
        <w:ind w:right="-285"/>
        <w:rPr>
          <w:szCs w:val="22"/>
        </w:rPr>
      </w:pPr>
      <w:r>
        <w:rPr>
          <w:szCs w:val="22"/>
        </w:rPr>
        <w:t>Inmediatamente después de finalizado el chorreado, se eliminará toda la granalla, polvo y suciedad de la zona a pintar, utilizando aire comprimido, seco y exento de grasa.</w:t>
      </w:r>
    </w:p>
    <w:p w:rsidR="00C7085E" w:rsidRDefault="00C7085E" w:rsidP="00B71B1A">
      <w:pPr>
        <w:spacing w:before="120" w:after="240" w:line="276" w:lineRule="auto"/>
        <w:ind w:right="-285"/>
        <w:rPr>
          <w:u w:val="single"/>
        </w:rPr>
      </w:pPr>
      <w:r>
        <w:rPr>
          <w:u w:val="single"/>
        </w:rPr>
        <w:t>Condiciones ambientales</w:t>
      </w:r>
    </w:p>
    <w:p w:rsidR="00C7085E" w:rsidRDefault="00C7085E" w:rsidP="00B71B1A">
      <w:pPr>
        <w:spacing w:before="120" w:after="240" w:line="276" w:lineRule="auto"/>
        <w:ind w:right="-285"/>
        <w:rPr>
          <w:szCs w:val="22"/>
        </w:rPr>
      </w:pPr>
      <w:r>
        <w:rPr>
          <w:szCs w:val="22"/>
        </w:rPr>
        <w:t>Al trabajar en el exterior, no se podrá aplicar ninguna imprimación en condiciones meteorológicas adversas: lluvia, niebla o condensación y rayos solares directos.</w:t>
      </w:r>
    </w:p>
    <w:p w:rsidR="00C7085E" w:rsidRDefault="00C7085E" w:rsidP="00B71B1A">
      <w:pPr>
        <w:spacing w:before="120" w:after="240" w:line="276" w:lineRule="auto"/>
        <w:ind w:right="-285"/>
        <w:rPr>
          <w:szCs w:val="22"/>
        </w:rPr>
      </w:pPr>
      <w:r>
        <w:rPr>
          <w:szCs w:val="22"/>
        </w:rPr>
        <w:t>Se deberán observar, siempre los siguientes parámetros ambientales: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La superficie a pintar esté, como mínimo, 3º C por encima del punto de rocío.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La humedad relativa máxima permitida para el pintado no supere, en ningún caso, el 80%.</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Temperatura ambiente superior a 5ºC e inferior a 50ºC.</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Temperaturas superiores a 0ºC en el proceso de secado de la imprimación</w:t>
      </w:r>
    </w:p>
    <w:p w:rsidR="00C7085E" w:rsidRDefault="00C7085E" w:rsidP="00B71B1A">
      <w:pPr>
        <w:spacing w:before="120" w:after="240" w:line="276" w:lineRule="auto"/>
        <w:ind w:right="-285"/>
        <w:rPr>
          <w:u w:val="single"/>
          <w:lang w:val="es-ES_tradnl"/>
        </w:rPr>
      </w:pPr>
      <w:r>
        <w:rPr>
          <w:u w:val="single"/>
        </w:rPr>
        <w:lastRenderedPageBreak/>
        <w:t>Galvanización en caliente</w:t>
      </w:r>
    </w:p>
    <w:p w:rsidR="00C7085E" w:rsidRDefault="00C7085E" w:rsidP="00B71B1A">
      <w:pPr>
        <w:spacing w:before="120" w:after="240" w:line="276" w:lineRule="auto"/>
        <w:ind w:right="-285"/>
        <w:rPr>
          <w:i/>
        </w:rPr>
      </w:pPr>
      <w:r>
        <w:t>La galvanización en caliente se regirá y deberá cumplir con las condiciones especificadas en la UNE-EN ISO 1461: “</w:t>
      </w:r>
      <w:r>
        <w:rPr>
          <w:i/>
        </w:rPr>
        <w:t xml:space="preserve">Recubrimientos de galvanización en caliente sobre piezas de hierro y acero. Especificaciones y métodos de ensayo” y la UNE-EN ISO 10684: “Elementos de fijación. Recubrimientos por galvanización en caliente”. </w:t>
      </w:r>
    </w:p>
    <w:p w:rsidR="00C7085E" w:rsidRDefault="00C7085E" w:rsidP="00B71B1A">
      <w:pPr>
        <w:spacing w:before="120" w:after="240" w:line="276" w:lineRule="auto"/>
        <w:ind w:right="-285"/>
        <w:rPr>
          <w:u w:val="single"/>
        </w:rPr>
      </w:pPr>
      <w:r>
        <w:rPr>
          <w:u w:val="single"/>
        </w:rPr>
        <w:t>Pinturas para protección de superficies metálicas</w:t>
      </w:r>
    </w:p>
    <w:p w:rsidR="00C7085E" w:rsidRDefault="00C7085E" w:rsidP="00B71B1A">
      <w:pPr>
        <w:spacing w:before="120" w:after="240" w:line="276" w:lineRule="auto"/>
        <w:ind w:right="-285"/>
        <w:rPr>
          <w:i/>
        </w:rPr>
      </w:pPr>
      <w:r>
        <w:t>Será de aplicación los sistemas de pintura recogidos en la norma UNE-EN 12944: “</w:t>
      </w:r>
      <w:r>
        <w:rPr>
          <w:i/>
        </w:rPr>
        <w:t xml:space="preserve">Pinturas y barnices. Protección de estructuras de acero frente a la corrosión mediante sistemas de pintura protectores. Parte 5: Sistemas de pintura protectores”, </w:t>
      </w:r>
      <w:r>
        <w:t>considerando ambientes clasificados como C5-I y durabilidades de pintura altas (H).</w:t>
      </w:r>
    </w:p>
    <w:p w:rsidR="00C7085E" w:rsidRDefault="00C7085E" w:rsidP="00B71B1A">
      <w:pPr>
        <w:spacing w:before="120" w:after="240" w:line="276" w:lineRule="auto"/>
        <w:ind w:right="-285"/>
      </w:pPr>
      <w:r>
        <w:t>Como mínimo se tendrán en cuenta las siguientes consideraciones: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Las superficies metálicas sometidas a inmersión continua en agua o enterradas, se tratarán mediante tres capas de recubrimiento de pintura negra alquitrán-epoxi, de ciento veinte y cinco micras (125 µm) de espesor cada una.</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Las superficies metálicas no sumergidas expuestas en atmosferas industriales o en exteriores (componentes aéreos), se tratarán mediante aplicación de una pintura de imprimación, silicato de zinc, con un espesor de sesenta y cinco micras (65 µm) de película seca, una capa intermedia de pintura, epoxi-poliamida, con un espesor de setenta y cinco micras (75 µm) de película seca y una pintura de acabado, poliuretano alifático, con un espesor de cincuenta micras (50 µm) de película seca.</w:t>
      </w:r>
    </w:p>
    <w:p w:rsidR="00C7085E" w:rsidRDefault="00C7085E" w:rsidP="00B71B1A">
      <w:pPr>
        <w:spacing w:before="120" w:after="240" w:line="276" w:lineRule="auto"/>
        <w:ind w:right="-285"/>
        <w:rPr>
          <w:u w:val="single"/>
          <w:lang w:val="es-ES_tradnl"/>
        </w:rPr>
      </w:pPr>
      <w:r>
        <w:rPr>
          <w:u w:val="single"/>
        </w:rPr>
        <w:t>Maquinaria en general</w:t>
      </w:r>
    </w:p>
    <w:p w:rsidR="00C7085E" w:rsidRDefault="00C7085E" w:rsidP="00B71B1A">
      <w:pPr>
        <w:spacing w:before="120" w:after="240" w:line="276" w:lineRule="auto"/>
        <w:ind w:right="-285"/>
        <w:rPr>
          <w:i/>
        </w:rPr>
      </w:pPr>
      <w:r>
        <w:t>Con carácter general deberán cumplir con lo especificado en los apartados de preparación superficies y aplicación de pintura, mencionados anteriormente. Los ensayos de adherencia deberán ser realizados de acuerdo con la Norma UNE-EN ISO 2409: “</w:t>
      </w:r>
      <w:r>
        <w:rPr>
          <w:i/>
        </w:rPr>
        <w:t>Pinturas y barnices. Ensayo de corte con enrejado”.</w:t>
      </w:r>
    </w:p>
    <w:p w:rsidR="00C7085E" w:rsidRDefault="00C7085E" w:rsidP="00B71B1A">
      <w:pPr>
        <w:spacing w:before="120" w:after="240" w:line="276" w:lineRule="auto"/>
        <w:ind w:right="-285"/>
        <w:rPr>
          <w:u w:val="single"/>
        </w:rPr>
      </w:pPr>
      <w:bookmarkStart w:id="633" w:name="_Toc398730146"/>
      <w:r>
        <w:rPr>
          <w:u w:val="single"/>
        </w:rPr>
        <w:t>Soldaduras</w:t>
      </w:r>
    </w:p>
    <w:p w:rsidR="00C7085E" w:rsidRDefault="00C7085E" w:rsidP="00B71B1A">
      <w:pPr>
        <w:spacing w:before="120" w:after="240" w:line="276" w:lineRule="auto"/>
        <w:ind w:right="-285"/>
      </w:pPr>
      <w:r>
        <w:t>Las soldaduras a acometer durante la ejecución de las obras se realizarán por arco. En el Proyecto deberá especificarse el tipo de electrodo a utilizar según la norma UNE-EN ISO 15607: “</w:t>
      </w:r>
      <w:r>
        <w:rPr>
          <w:rFonts w:cs="Arial"/>
          <w:bCs/>
          <w:i/>
          <w:color w:val="000000"/>
          <w:szCs w:val="22"/>
        </w:rPr>
        <w:t>Especificación y cualificación de los procedimientos de soldeo para los materiales metálicos. Reglas generales”.</w:t>
      </w:r>
    </w:p>
    <w:p w:rsidR="00C7085E" w:rsidRDefault="00C7085E" w:rsidP="00B71B1A">
      <w:pPr>
        <w:spacing w:before="120" w:after="240" w:line="276" w:lineRule="auto"/>
        <w:ind w:right="-285"/>
      </w:pPr>
      <w:r>
        <w:t xml:space="preserve">El Adjudicatario presentará a la Dirección de Obra los planos de detalle de todas las soldaduras, indicando su localización, tipo, tamaños y extensión. Además en los planos deberán distinguirse las soldaduras que se harán en taller de las que se harán en obra. </w:t>
      </w:r>
    </w:p>
    <w:p w:rsidR="00C7085E" w:rsidRDefault="00C7085E" w:rsidP="00B71B1A">
      <w:pPr>
        <w:spacing w:before="120" w:after="240" w:line="276" w:lineRule="auto"/>
        <w:ind w:right="-285"/>
      </w:pPr>
      <w:r>
        <w:t xml:space="preserve">Los planos deberán indicar con símbolos de soldadura o esquemas, los detalles de las juntas soldadas y la preparación necesaria del metal base. Las juntas o grupo de juntas en las cuales el orden consecutivo o la técnica del soldeo son especialmente importantes, se deben controlar cuidadosamente para reducir al mínimo los esfuerzos y distorsión causados </w:t>
      </w:r>
      <w:r>
        <w:lastRenderedPageBreak/>
        <w:t>por el acortamiento al enfriarse.</w:t>
      </w:r>
    </w:p>
    <w:p w:rsidR="00C7085E" w:rsidRDefault="00C7085E" w:rsidP="00B71B1A">
      <w:pPr>
        <w:spacing w:before="120" w:after="240" w:line="276" w:lineRule="auto"/>
        <w:ind w:right="-285"/>
        <w:rPr>
          <w:rFonts w:cs="Arial"/>
          <w:i/>
          <w:szCs w:val="22"/>
        </w:rPr>
      </w:pPr>
      <w:r>
        <w:rPr>
          <w:rFonts w:cs="Arial"/>
          <w:bCs/>
          <w:color w:val="000000"/>
          <w:szCs w:val="22"/>
        </w:rPr>
        <w:t xml:space="preserve">La capacitación profesional de los operarios que realicen los trabajos de soldeo deberá ser acreditada </w:t>
      </w:r>
      <w:r>
        <w:t xml:space="preserve">según la norma </w:t>
      </w:r>
      <w:r>
        <w:rPr>
          <w:rFonts w:cs="Arial"/>
          <w:szCs w:val="22"/>
        </w:rPr>
        <w:t>UNE-EN 287-1</w:t>
      </w:r>
      <w:r>
        <w:rPr>
          <w:rFonts w:cs="Arial"/>
          <w:i/>
          <w:szCs w:val="22"/>
        </w:rPr>
        <w:t xml:space="preserve">: “Cualificación de soldadores. Soldeo por fusión. Parte 1: Aceros” o </w:t>
      </w:r>
      <w:r>
        <w:t xml:space="preserve">Código ASME Sección IX - Soldadura: </w:t>
      </w:r>
      <w:r>
        <w:rPr>
          <w:i/>
        </w:rPr>
        <w:t>Desarrollo y calificación de Procedimientos y Soldadores.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szCs w:val="20"/>
        </w:rPr>
      </w:pPr>
      <w:bookmarkStart w:id="634" w:name="_Toc414021883"/>
      <w:bookmarkStart w:id="635" w:name="_Ref400009546"/>
      <w:bookmarkStart w:id="636" w:name="_Toc448741475"/>
      <w:r>
        <w:t>Forma de abono de las instalaciones y equipos</w:t>
      </w:r>
      <w:bookmarkEnd w:id="633"/>
      <w:bookmarkEnd w:id="634"/>
      <w:bookmarkEnd w:id="635"/>
      <w:bookmarkEnd w:id="636"/>
    </w:p>
    <w:p w:rsidR="00C7085E" w:rsidRDefault="00C7085E" w:rsidP="00B71B1A">
      <w:pPr>
        <w:spacing w:before="120" w:after="240" w:line="276" w:lineRule="auto"/>
        <w:ind w:right="-285"/>
      </w:pPr>
      <w:r>
        <w:t>Los equipos industriales, las máquinas o elementos, las instalaciones que constituyendo una unidad en sí formen parte de la instalación general, se medirán y abonarán por unidad (ud), según el precio que corresponda de los que figuren en el Cuadro de Precios vigente de Canal de Isabel II Gestión. Estos precios se refieren siempre a la unidad colocada, probada y en perfectas condiciones de funcionamiento.</w:t>
      </w:r>
    </w:p>
    <w:p w:rsidR="00C7085E" w:rsidRDefault="00C7085E" w:rsidP="00B71B1A">
      <w:pPr>
        <w:spacing w:before="120" w:after="240" w:line="276" w:lineRule="auto"/>
        <w:ind w:right="-285"/>
      </w:pPr>
      <w:r>
        <w:t>La medición de la obra ejecutada en esta clase de unidades de obra en un momento dado, será la suma de las partidas siguientes:</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a)</w:t>
      </w:r>
      <w:r>
        <w:rPr>
          <w:rFonts w:cs="Arial"/>
          <w:spacing w:val="-3"/>
          <w:szCs w:val="22"/>
        </w:rPr>
        <w:tab/>
        <w:t xml:space="preserve">El 65% del total de la unidad cuya fabricación se hace en talleres, cuando la Dirección de Obra haya recibido la siguiente documentación: </w:t>
      </w:r>
      <w:r>
        <w:rPr>
          <w:rFonts w:cs="Arial"/>
        </w:rPr>
        <w:t>Nota de aceptación del control de calidad</w:t>
      </w:r>
      <w:r>
        <w:rPr>
          <w:rFonts w:cs="Arial"/>
          <w:spacing w:val="-3"/>
          <w:szCs w:val="22"/>
        </w:rPr>
        <w:t>, c</w:t>
      </w:r>
      <w:r>
        <w:rPr>
          <w:rFonts w:cs="Arial"/>
        </w:rPr>
        <w:t xml:space="preserve">ertificados de materiales y pruebas correspondientes a los casos establecidos y que </w:t>
      </w:r>
      <w:r>
        <w:rPr>
          <w:rFonts w:cs="Arial"/>
          <w:spacing w:val="-3"/>
          <w:szCs w:val="22"/>
        </w:rPr>
        <w:t>se haya recibido la unidad de que se trate en los almacenes de la obra.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b)</w:t>
      </w:r>
      <w:r>
        <w:rPr>
          <w:rFonts w:cs="Arial"/>
          <w:spacing w:val="-3"/>
          <w:szCs w:val="22"/>
        </w:rPr>
        <w:tab/>
        <w:t>El 10% de la unidad una vez instalada en obra.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c)</w:t>
      </w:r>
      <w:r>
        <w:rPr>
          <w:rFonts w:cs="Arial"/>
          <w:spacing w:val="-3"/>
          <w:szCs w:val="22"/>
        </w:rPr>
        <w:tab/>
        <w:t>El 15% del total de la unidad cuando haya sido probada en obra.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d)</w:t>
      </w:r>
      <w:r>
        <w:rPr>
          <w:rFonts w:cs="Arial"/>
          <w:spacing w:val="-3"/>
          <w:szCs w:val="22"/>
        </w:rPr>
        <w:tab/>
        <w:t>El 10% restante cuando se realice la Recepción de las obras.</w:t>
      </w:r>
    </w:p>
    <w:p w:rsidR="00C7085E" w:rsidRDefault="00C7085E" w:rsidP="00B71B1A">
      <w:pPr>
        <w:spacing w:before="120" w:after="240" w:line="276" w:lineRule="auto"/>
        <w:ind w:right="-285"/>
      </w:pPr>
      <w:r>
        <w:t>Para las unidades cuya fabricación o construcción se realiza en obra, los sumandos serán los siguientes:</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a)</w:t>
      </w:r>
      <w:r>
        <w:rPr>
          <w:rFonts w:cs="Arial"/>
          <w:spacing w:val="-3"/>
          <w:szCs w:val="22"/>
        </w:rPr>
        <w:tab/>
        <w:t>El 75% del total de la unidad cuando esté totalmente instalada.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b)</w:t>
      </w:r>
      <w:r>
        <w:rPr>
          <w:rFonts w:cs="Arial"/>
          <w:spacing w:val="-3"/>
          <w:szCs w:val="22"/>
        </w:rPr>
        <w:tab/>
        <w:t>El 15% del total de la unidad cuando haya sido probada.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c)</w:t>
      </w:r>
      <w:r>
        <w:rPr>
          <w:rFonts w:cs="Arial"/>
          <w:spacing w:val="-3"/>
          <w:szCs w:val="22"/>
        </w:rPr>
        <w:tab/>
        <w:t>El 10% restante cuando se realice la Recepción de las obras.</w:t>
      </w:r>
    </w:p>
    <w:p w:rsidR="00C7085E" w:rsidRDefault="00C7085E" w:rsidP="00B71B1A">
      <w:pPr>
        <w:spacing w:before="120" w:after="240" w:line="276" w:lineRule="auto"/>
        <w:ind w:right="-285"/>
      </w:pPr>
      <w:r>
        <w:t>En estos precios unitarios se consideran incluidas las ayudas de albañilería y oficios necesarios para su total acabado y montaje.</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37" w:name="_Toc414021884"/>
      <w:bookmarkStart w:id="638" w:name="_Toc448741476"/>
      <w:r>
        <w:t>Fabricación</w:t>
      </w:r>
      <w:bookmarkEnd w:id="637"/>
      <w:bookmarkEnd w:id="638"/>
    </w:p>
    <w:p w:rsidR="00C7085E" w:rsidRDefault="00C7085E" w:rsidP="00B71B1A">
      <w:pPr>
        <w:spacing w:before="120" w:after="240" w:line="276" w:lineRule="auto"/>
        <w:ind w:right="-285"/>
        <w:rPr>
          <w:rFonts w:cs="Arial"/>
        </w:rPr>
      </w:pPr>
      <w:r>
        <w:rPr>
          <w:rFonts w:cs="Arial"/>
        </w:rPr>
        <w:t>El Adjudicatario facilitará a la Dirección de Obra el nombre y dirección de los talleres y factorías encargadas de la fabricación de los equipos mecánicos, en los que se practicarán las visitas de reconocimiento e inspección cuando la Dirección de Obra lo considere conveniente.</w:t>
      </w:r>
    </w:p>
    <w:p w:rsidR="00C7085E" w:rsidRDefault="00C7085E" w:rsidP="00B71B1A">
      <w:pPr>
        <w:spacing w:before="120" w:after="240" w:line="276" w:lineRule="auto"/>
        <w:ind w:right="-285"/>
        <w:rPr>
          <w:rFonts w:cs="Arial"/>
        </w:rPr>
      </w:pPr>
      <w:r>
        <w:rPr>
          <w:rFonts w:cs="Arial"/>
        </w:rPr>
        <w:lastRenderedPageBreak/>
        <w:t>La Dirección de Obra solicitará la realización de los ensayos de material y las comprobaciones que crea necesarias para asegurar que los diferentes elementos reúnen las características proyectadas y aprobadas.</w:t>
      </w:r>
    </w:p>
    <w:p w:rsidR="00C7085E" w:rsidRDefault="00C7085E" w:rsidP="00B71B1A">
      <w:pPr>
        <w:spacing w:before="120" w:after="240" w:line="276" w:lineRule="auto"/>
        <w:ind w:right="-285"/>
        <w:rPr>
          <w:rFonts w:cs="Arial"/>
        </w:rPr>
      </w:pPr>
      <w:r>
        <w:rPr>
          <w:rFonts w:cs="Arial"/>
        </w:rPr>
        <w:t>Comprobada la fabricación defectuosa, la Dirección de Obra rehusará la pieza o aparatos afectados, pudiendo llegar a la recusación y exclusión del taller o factoría implicada.</w:t>
      </w:r>
    </w:p>
    <w:p w:rsidR="00C7085E" w:rsidRDefault="00C7085E" w:rsidP="00B71B1A">
      <w:pPr>
        <w:spacing w:before="120" w:after="240" w:line="276" w:lineRule="auto"/>
        <w:ind w:right="-285"/>
        <w:rPr>
          <w:rFonts w:cs="Arial"/>
        </w:rPr>
      </w:pPr>
      <w:r>
        <w:rPr>
          <w:rFonts w:cs="Arial"/>
        </w:rPr>
        <w:t>Las operaciones de carga, transporte, descarga y almacenaje se harán con máximo cuidado para evitar roturas o deformaciones, ya que la Dirección de Obra no aceptará las reparaciones en taller de obra sin la total garantía de que no se producen tensiones secundarias y otros daños por no disponer del equipo adecuado.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rPr>
      </w:pPr>
      <w:bookmarkStart w:id="639" w:name="_Toc414021885"/>
      <w:bookmarkStart w:id="640" w:name="_Toc448741477"/>
      <w:r>
        <w:t>Control de calidad</w:t>
      </w:r>
      <w:bookmarkEnd w:id="639"/>
      <w:bookmarkEnd w:id="640"/>
    </w:p>
    <w:p w:rsidR="00C7085E" w:rsidRDefault="00C7085E" w:rsidP="00B71B1A">
      <w:pPr>
        <w:spacing w:before="120" w:after="240" w:line="276" w:lineRule="auto"/>
        <w:ind w:right="-285"/>
        <w:rPr>
          <w:rFonts w:cs="Arial"/>
        </w:rPr>
      </w:pPr>
      <w:r>
        <w:t xml:space="preserve">Previo al control de calidad propio de Canal de Isabel II Gestión o al externo, el Adjudicatario </w:t>
      </w:r>
      <w:r>
        <w:rPr>
          <w:rFonts w:cs="Arial"/>
        </w:rPr>
        <w:t>deberá facilitar a la Dirección de Obra la documentación técnica de todos los equipos a instalar, la cual contendrá como mínimo la siguiente información:</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Especificación Técnica según Modelo de Canal de Isabel II Gestión</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Plano conjunto y detalle del equipo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Materiales que componen cada elemento del equipo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Normas de acuerdo con las cuales ha sido diseñado</w:t>
      </w:r>
    </w:p>
    <w:p w:rsidR="00C7085E" w:rsidRDefault="00C7085E" w:rsidP="00B71B1A">
      <w:pPr>
        <w:spacing w:before="120" w:after="240" w:line="276" w:lineRule="auto"/>
        <w:ind w:left="709" w:right="-285"/>
        <w:rPr>
          <w:rFonts w:cs="Arial"/>
          <w:lang w:val="es-ES_tradnl"/>
        </w:rPr>
      </w:pPr>
      <w:r>
        <w:rPr>
          <w:rFonts w:cs="Arial"/>
        </w:rPr>
        <w:t>Normas a emplear para las pruebas de recepción, especificando cuales de ellas deben realizarse en taller y cuales en obra. Las pruebas deberán realizarse de acuerdo a las normas españolas UNE, y en su defecto, a las europeas EN o internacionales ISO, acompañada de la correspondiente traducción al español. En el caso de que las pruebas propuestas no se ajusten a ninguna norma oficial y deban desarrollarse bajo condiciones particulares, el Adjudicatario estará obligado a presentar cuanta información complementaria estime la Dirección de Obra, quien podrá rechazar el equipo propuesto si, a su juicio, dicho programa de pruebas no ofrece garantías suficientes.</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Programa de Puntos de Inspección (PPI), donde se recogerán de forma cronológica las distintas operaciones o fases que deben ser controlados.</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Manual de servicio que constará de:</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Libro de operaciones de la instalación con las instrucciones de montaje, puesta en marcha y mantenimiento.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Planos generales de proceso.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Lista general de engrases.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Libro de componentes con croquis de dimensiones, secciones, hoja de datos, e instrucciones de cada equipo.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Lista de Repuestos.</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Certificado de garantía de los equipos contra defectos de diseño, material y fabricación por un período de dos años después de la recepción de las obras.</w:t>
      </w:r>
    </w:p>
    <w:p w:rsidR="00C7085E" w:rsidRDefault="00C7085E" w:rsidP="00B71B1A">
      <w:pPr>
        <w:spacing w:before="120" w:after="240" w:line="276" w:lineRule="auto"/>
        <w:ind w:right="-285"/>
        <w:rPr>
          <w:rFonts w:cs="Arial"/>
          <w:lang w:val="es-ES_tradnl"/>
        </w:rPr>
      </w:pPr>
      <w:r>
        <w:rPr>
          <w:rFonts w:cs="Arial"/>
          <w:szCs w:val="22"/>
        </w:rPr>
        <w:t xml:space="preserve">La Dirección de Obra podrá solicitar al Adjudicatario toda la información adicional que, a su </w:t>
      </w:r>
      <w:r>
        <w:rPr>
          <w:rFonts w:cs="Arial"/>
        </w:rPr>
        <w:lastRenderedPageBreak/>
        <w:t xml:space="preserve">juicio, sea precisa, para la aceptación o rechazo de los equipos a colocar en las obras. </w:t>
      </w:r>
    </w:p>
    <w:p w:rsidR="00C7085E" w:rsidRDefault="00C7085E" w:rsidP="00B71B1A">
      <w:pPr>
        <w:spacing w:before="120" w:after="240" w:line="276" w:lineRule="auto"/>
        <w:ind w:right="-285"/>
        <w:rPr>
          <w:rFonts w:cs="Arial"/>
          <w:szCs w:val="22"/>
        </w:rPr>
      </w:pPr>
      <w:r>
        <w:rPr>
          <w:rFonts w:cs="Arial"/>
        </w:rPr>
        <w:t>Una vez aceptado el equipo mediante la aprobación de la Especificación Técnica y el programa de puntos de inspección de cada equipo, se autorizará a proceder con el control</w:t>
      </w:r>
      <w:r>
        <w:rPr>
          <w:rFonts w:cs="Arial"/>
          <w:szCs w:val="22"/>
        </w:rPr>
        <w:t xml:space="preserve"> de calidad.</w:t>
      </w:r>
    </w:p>
    <w:p w:rsidR="00C7085E" w:rsidRDefault="00C7085E" w:rsidP="00B71B1A">
      <w:pPr>
        <w:spacing w:before="120" w:after="240" w:line="276" w:lineRule="auto"/>
        <w:ind w:right="-285"/>
        <w:rPr>
          <w:rFonts w:cs="Arial"/>
          <w:szCs w:val="22"/>
        </w:rPr>
      </w:pPr>
      <w:r>
        <w:rPr>
          <w:rFonts w:cs="Arial"/>
          <w:szCs w:val="22"/>
        </w:rPr>
        <w:t>El Adjudicatario y sus talleres subcontratados y suministradores aceptarán en todo momento, las visitas e inspecciones.</w:t>
      </w:r>
    </w:p>
    <w:p w:rsidR="00C7085E" w:rsidRDefault="00C7085E" w:rsidP="00B71B1A">
      <w:pPr>
        <w:spacing w:before="120" w:after="240" w:line="276" w:lineRule="auto"/>
        <w:ind w:right="-285"/>
        <w:rPr>
          <w:rFonts w:cs="Arial"/>
          <w:szCs w:val="22"/>
        </w:rPr>
      </w:pPr>
      <w:r>
        <w:rPr>
          <w:rFonts w:cs="Arial"/>
          <w:szCs w:val="22"/>
        </w:rPr>
        <w:t>En caso de detección de desviación, se levantará una nota de no aceptación del equipo hasta que la Dirección de Obra considere subsanada la desviación y emita nota de aceptación o bien se rechace definitivamente el equipo.</w:t>
      </w:r>
    </w:p>
    <w:p w:rsidR="00C7085E" w:rsidRDefault="00C7085E" w:rsidP="00B71B1A">
      <w:pPr>
        <w:spacing w:before="120" w:after="240" w:line="276" w:lineRule="auto"/>
        <w:ind w:right="-285"/>
        <w:rPr>
          <w:rFonts w:cs="Arial"/>
          <w:szCs w:val="22"/>
        </w:rPr>
      </w:pPr>
      <w:r>
        <w:rPr>
          <w:rFonts w:cs="Arial"/>
          <w:szCs w:val="22"/>
        </w:rPr>
        <w:t>Los equipos deberán tener unas condiciones adecuadas de acopio en obra previo al montaje, los desperfectos ocasionados a causa de acopios deficientes correrán por cuenta del Adjudicatario.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szCs w:val="20"/>
        </w:rPr>
      </w:pPr>
      <w:bookmarkStart w:id="641" w:name="_Toc414021886"/>
      <w:bookmarkStart w:id="642" w:name="_Toc402164034"/>
      <w:bookmarkStart w:id="643" w:name="_Toc448741478"/>
      <w:r>
        <w:t>Montaje</w:t>
      </w:r>
      <w:bookmarkEnd w:id="641"/>
      <w:bookmarkEnd w:id="642"/>
      <w:bookmarkEnd w:id="643"/>
    </w:p>
    <w:p w:rsidR="00C7085E" w:rsidRDefault="00C7085E" w:rsidP="00B71B1A">
      <w:pPr>
        <w:spacing w:before="120" w:after="240" w:line="276" w:lineRule="auto"/>
        <w:ind w:right="-285"/>
      </w:pPr>
      <w:r>
        <w:t>Los diferentes elementos serán presentados situándolos en obra en su exacta posición, sin que sea necesario forzar ninguna de las partes, asegurándose de que disponen de todos los grados de libertad en sus movimientos previstos en el Proyecto, sin que sea necesario ningún esfuerzo superior a los que previamente se han considerado. En el caso contrario los elementos serán devueltos al taller de origen para su corrección, o serán rechazados definitivamente si la Dirección de Obra considera que es imposible eliminar satisfactoriamente todos los defectos.</w:t>
      </w:r>
    </w:p>
    <w:p w:rsidR="00C7085E" w:rsidRDefault="00C7085E" w:rsidP="00B71B1A">
      <w:pPr>
        <w:spacing w:before="120" w:after="240" w:line="276" w:lineRule="auto"/>
        <w:ind w:right="-285"/>
      </w:pPr>
      <w:r>
        <w:t>Aprobados los elementos presentados, se procederán a recibir los anclajes y soportes en la forma prevista en el Proyecto.</w:t>
      </w:r>
    </w:p>
    <w:p w:rsidR="00C7085E" w:rsidRPr="00894B2B" w:rsidRDefault="00AA6C96" w:rsidP="00B71B1A">
      <w:pPr>
        <w:pStyle w:val="Ttulo2"/>
        <w:numPr>
          <w:ilvl w:val="1"/>
          <w:numId w:val="5"/>
        </w:numPr>
        <w:snapToGrid/>
        <w:spacing w:before="400" w:after="400" w:line="276" w:lineRule="auto"/>
        <w:ind w:left="0" w:right="-285"/>
        <w:rPr>
          <w:caps w:val="0"/>
        </w:rPr>
      </w:pPr>
      <w:bookmarkStart w:id="644" w:name="_Toc414021888"/>
      <w:bookmarkStart w:id="645" w:name="_Toc448741479"/>
      <w:r w:rsidRPr="00E77B39">
        <w:rPr>
          <w:caps w:val="0"/>
        </w:rPr>
        <w:t>VÁLVULAS Y FILTROS</w:t>
      </w:r>
      <w:bookmarkEnd w:id="644"/>
      <w:bookmarkEnd w:id="645"/>
      <w:r w:rsidRPr="00E77B39">
        <w:rPr>
          <w:caps w:val="0"/>
        </w:rPr>
        <w:t xml:space="preserve"> </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46" w:name="_Toc414021889"/>
      <w:bookmarkStart w:id="647" w:name="_Toc448741480"/>
      <w:r>
        <w:t>Generalidades</w:t>
      </w:r>
      <w:bookmarkEnd w:id="646"/>
      <w:bookmarkEnd w:id="647"/>
    </w:p>
    <w:p w:rsidR="00C7085E" w:rsidRDefault="00C7085E" w:rsidP="00B71B1A">
      <w:pPr>
        <w:spacing w:before="120" w:after="240" w:line="276" w:lineRule="auto"/>
        <w:ind w:right="-285"/>
      </w:pPr>
      <w:r>
        <w:t>Los elementos de maniobra y control o válvulas deberán cumplir con los requisitos de diseño y funcionamiento, así como los métodos de evaluación de la conformidad, especificados para las mismas por las normas:</w:t>
      </w:r>
    </w:p>
    <w:tbl>
      <w:tblPr>
        <w:tblStyle w:val="Tablaconcuadrcula"/>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408"/>
      </w:tblGrid>
      <w:tr w:rsidR="00C7085E" w:rsidTr="00C7085E">
        <w:tc>
          <w:tcPr>
            <w:tcW w:w="1985" w:type="dxa"/>
            <w:hideMark/>
          </w:tcPr>
          <w:p w:rsidR="00C7085E" w:rsidRDefault="00C7085E" w:rsidP="00B71B1A">
            <w:pPr>
              <w:spacing w:before="120" w:after="240" w:line="276" w:lineRule="auto"/>
              <w:ind w:right="-285"/>
            </w:pPr>
            <w:r>
              <w:rPr>
                <w:rFonts w:cs="Arial"/>
                <w:szCs w:val="22"/>
              </w:rPr>
              <w:t xml:space="preserve">UNE-EN </w:t>
            </w:r>
            <w:r>
              <w:rPr>
                <w:rFonts w:cs="Arial"/>
                <w:color w:val="000000"/>
                <w:szCs w:val="22"/>
              </w:rPr>
              <w:t xml:space="preserve">   736:</w:t>
            </w:r>
          </w:p>
        </w:tc>
        <w:tc>
          <w:tcPr>
            <w:tcW w:w="6408" w:type="dxa"/>
            <w:hideMark/>
          </w:tcPr>
          <w:p w:rsidR="00C7085E" w:rsidRDefault="00C7085E" w:rsidP="00B71B1A">
            <w:pPr>
              <w:spacing w:before="120" w:after="240" w:line="276" w:lineRule="auto"/>
              <w:ind w:right="-285"/>
              <w:rPr>
                <w:rFonts w:cs="Arial"/>
                <w:i/>
                <w:szCs w:val="22"/>
              </w:rPr>
            </w:pPr>
            <w:r>
              <w:rPr>
                <w:rFonts w:cs="Arial"/>
                <w:color w:val="000000"/>
                <w:szCs w:val="22"/>
              </w:rPr>
              <w:t>“</w:t>
            </w:r>
            <w:r>
              <w:rPr>
                <w:rFonts w:cs="Arial"/>
                <w:i/>
                <w:color w:val="000000"/>
                <w:szCs w:val="22"/>
              </w:rPr>
              <w:t>Válvulas. Terminología”.</w:t>
            </w:r>
          </w:p>
        </w:tc>
      </w:tr>
      <w:tr w:rsidR="00C7085E" w:rsidTr="00C7085E">
        <w:tc>
          <w:tcPr>
            <w:tcW w:w="1985" w:type="dxa"/>
            <w:hideMark/>
          </w:tcPr>
          <w:p w:rsidR="00C7085E" w:rsidRDefault="00C7085E" w:rsidP="00B71B1A">
            <w:pPr>
              <w:spacing w:before="120" w:after="240" w:line="276" w:lineRule="auto"/>
              <w:ind w:right="-285"/>
            </w:pPr>
            <w:r>
              <w:rPr>
                <w:rFonts w:cs="Arial"/>
                <w:szCs w:val="22"/>
              </w:rPr>
              <w:t>UNE-EN  1074:</w:t>
            </w:r>
          </w:p>
        </w:tc>
        <w:tc>
          <w:tcPr>
            <w:tcW w:w="6408" w:type="dxa"/>
            <w:hideMark/>
          </w:tcPr>
          <w:p w:rsidR="00C7085E" w:rsidRDefault="00C7085E" w:rsidP="00B71B1A">
            <w:pPr>
              <w:spacing w:before="120" w:after="240" w:line="276" w:lineRule="auto"/>
              <w:ind w:right="-285"/>
              <w:rPr>
                <w:i/>
              </w:rPr>
            </w:pPr>
            <w:r>
              <w:rPr>
                <w:rFonts w:cs="Arial"/>
                <w:i/>
                <w:color w:val="000000"/>
                <w:szCs w:val="22"/>
              </w:rPr>
              <w:t>“Válvulas para el suministro de agua.</w:t>
            </w:r>
            <w:r>
              <w:rPr>
                <w:i/>
              </w:rPr>
              <w:t xml:space="preserve"> Requisitos de aptitud al uso y ensayos de verificación apropiados”.</w:t>
            </w:r>
          </w:p>
        </w:tc>
      </w:tr>
    </w:tbl>
    <w:p w:rsidR="00C7085E" w:rsidRDefault="00C7085E" w:rsidP="00B71B1A">
      <w:pPr>
        <w:spacing w:before="120" w:after="240" w:line="276" w:lineRule="auto"/>
        <w:ind w:right="-285"/>
        <w:rPr>
          <w:lang w:val="es-ES_tradnl" w:eastAsia="es-ES_tradnl"/>
        </w:rPr>
      </w:pPr>
      <w:r>
        <w:t>En las válvulas, la denominación DN hará referencia al diámetro interior de la sección de paso a la misma, en la zona de su conexión con la conducción, independientemente de que, en su interior, pueda tener partes o conductos de un diámetro diferente.</w:t>
      </w:r>
    </w:p>
    <w:p w:rsidR="00C7085E" w:rsidRDefault="00C7085E" w:rsidP="00B71B1A">
      <w:pPr>
        <w:spacing w:before="120" w:after="240" w:line="276" w:lineRule="auto"/>
        <w:ind w:right="-285"/>
      </w:pPr>
      <w:r>
        <w:lastRenderedPageBreak/>
        <w:t>Además la presión nominal (PN) será igual o superior a la presión de diseño (DP) de la conducción que pueda alcanzarse en el emplazamiento de la válvula.</w:t>
      </w:r>
    </w:p>
    <w:p w:rsidR="00C7085E" w:rsidRDefault="00C7085E" w:rsidP="00B71B1A">
      <w:pPr>
        <w:keepNext/>
        <w:keepLines/>
        <w:spacing w:before="120" w:after="240" w:line="276" w:lineRule="auto"/>
        <w:ind w:right="-285"/>
      </w:pPr>
      <w:r>
        <w:t>Los materiales de los distintos elementos de las válvulas cumplirán las siguientes normas:</w:t>
      </w:r>
    </w:p>
    <w:tbl>
      <w:tblPr>
        <w:tblStyle w:val="Tablaconcuadrcul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126"/>
        <w:gridCol w:w="4500"/>
      </w:tblGrid>
      <w:tr w:rsidR="00C7085E" w:rsidTr="00C7085E">
        <w:tc>
          <w:tcPr>
            <w:tcW w:w="1985" w:type="dxa"/>
            <w:hideMark/>
          </w:tcPr>
          <w:p w:rsidR="00C7085E" w:rsidRDefault="00C7085E" w:rsidP="00B71B1A">
            <w:pPr>
              <w:keepNext/>
              <w:keepLines/>
              <w:spacing w:before="120" w:after="240" w:line="276" w:lineRule="auto"/>
              <w:ind w:right="-285"/>
            </w:pPr>
            <w:r>
              <w:t>Acero</w:t>
            </w:r>
          </w:p>
        </w:tc>
        <w:tc>
          <w:tcPr>
            <w:tcW w:w="2126" w:type="dxa"/>
            <w:hideMark/>
          </w:tcPr>
          <w:p w:rsidR="00C7085E" w:rsidRDefault="00C7085E" w:rsidP="00B71B1A">
            <w:pPr>
              <w:keepNext/>
              <w:keepLines/>
              <w:spacing w:before="120" w:after="240" w:line="276" w:lineRule="auto"/>
              <w:ind w:right="-285"/>
            </w:pPr>
            <w:r>
              <w:t>UNE-EN ISO 898-1</w:t>
            </w:r>
          </w:p>
        </w:tc>
        <w:tc>
          <w:tcPr>
            <w:tcW w:w="4500" w:type="dxa"/>
            <w:hideMark/>
          </w:tcPr>
          <w:p w:rsidR="00C7085E" w:rsidRDefault="00C7085E" w:rsidP="00B71B1A">
            <w:pPr>
              <w:keepNext/>
              <w:keepLines/>
              <w:spacing w:before="120" w:after="240" w:line="276" w:lineRule="auto"/>
              <w:ind w:right="-285"/>
              <w:rPr>
                <w:color w:val="000000"/>
              </w:rPr>
            </w:pPr>
            <w:r>
              <w:rPr>
                <w:color w:val="000000"/>
              </w:rPr>
              <w:t>“</w:t>
            </w:r>
            <w:r>
              <w:rPr>
                <w:i/>
                <w:color w:val="000000"/>
              </w:rPr>
              <w:t>Características mecánicas de los elementos de fijación de acero al carbono y acero aleado. Parte 1: Pernos, tornillos y bulones con clases de calidad especificadas. Rosca de paso grueso y rosca de paso fino (ISO 898-1:2009).</w:t>
            </w:r>
          </w:p>
        </w:tc>
      </w:tr>
      <w:tr w:rsidR="00C7085E" w:rsidTr="00C7085E">
        <w:tc>
          <w:tcPr>
            <w:tcW w:w="1985" w:type="dxa"/>
          </w:tcPr>
          <w:p w:rsidR="00C7085E" w:rsidRDefault="00C7085E" w:rsidP="00B71B1A">
            <w:pPr>
              <w:spacing w:before="120" w:after="240" w:line="276" w:lineRule="auto"/>
              <w:ind w:right="-285"/>
            </w:pPr>
          </w:p>
        </w:tc>
        <w:tc>
          <w:tcPr>
            <w:tcW w:w="2126" w:type="dxa"/>
            <w:hideMark/>
          </w:tcPr>
          <w:p w:rsidR="00C7085E" w:rsidRDefault="00C7085E" w:rsidP="00B71B1A">
            <w:pPr>
              <w:spacing w:before="120" w:after="240" w:line="276" w:lineRule="auto"/>
              <w:ind w:right="-285"/>
            </w:pPr>
            <w:r>
              <w:t>UNE-EN   1503-1:</w:t>
            </w:r>
          </w:p>
        </w:tc>
        <w:tc>
          <w:tcPr>
            <w:tcW w:w="4500" w:type="dxa"/>
            <w:hideMark/>
          </w:tcPr>
          <w:p w:rsidR="00C7085E" w:rsidRDefault="00C7085E" w:rsidP="00B71B1A">
            <w:pPr>
              <w:spacing w:before="120" w:after="240" w:line="276" w:lineRule="auto"/>
              <w:ind w:right="-285"/>
              <w:rPr>
                <w:i/>
              </w:rPr>
            </w:pPr>
            <w:r>
              <w:rPr>
                <w:color w:val="000000"/>
              </w:rPr>
              <w:t>“</w:t>
            </w:r>
            <w:r>
              <w:rPr>
                <w:i/>
              </w:rPr>
              <w:t>Válvulas. Materiales para los cuerpos, caperuzas y cubiertas. Parte 1: Aceros especificados en las normas europeas”.</w:t>
            </w:r>
          </w:p>
        </w:tc>
      </w:tr>
      <w:tr w:rsidR="00C7085E" w:rsidTr="00C7085E">
        <w:tc>
          <w:tcPr>
            <w:tcW w:w="1985" w:type="dxa"/>
          </w:tcPr>
          <w:p w:rsidR="00C7085E" w:rsidRDefault="00C7085E" w:rsidP="00B71B1A">
            <w:pPr>
              <w:spacing w:before="120" w:after="240" w:line="276" w:lineRule="auto"/>
              <w:ind w:right="-285"/>
            </w:pPr>
          </w:p>
        </w:tc>
        <w:tc>
          <w:tcPr>
            <w:tcW w:w="2126" w:type="dxa"/>
            <w:hideMark/>
          </w:tcPr>
          <w:p w:rsidR="00C7085E" w:rsidRDefault="00C7085E" w:rsidP="00B71B1A">
            <w:pPr>
              <w:spacing w:before="120" w:after="240" w:line="276" w:lineRule="auto"/>
              <w:ind w:right="-285"/>
              <w:rPr>
                <w:i/>
              </w:rPr>
            </w:pPr>
            <w:r>
              <w:t>UNE-EN   1503-2:</w:t>
            </w:r>
          </w:p>
        </w:tc>
        <w:tc>
          <w:tcPr>
            <w:tcW w:w="4500" w:type="dxa"/>
            <w:hideMark/>
          </w:tcPr>
          <w:p w:rsidR="00C7085E" w:rsidRDefault="00C7085E" w:rsidP="00B71B1A">
            <w:pPr>
              <w:spacing w:before="120" w:after="240" w:line="276" w:lineRule="auto"/>
              <w:ind w:right="-285"/>
            </w:pPr>
            <w:r>
              <w:t>“</w:t>
            </w:r>
            <w:r>
              <w:rPr>
                <w:i/>
              </w:rPr>
              <w:t>Válvulas. Materiales para los cuerpos, caperuzas y cubiertas. Parte 2: Aceros distintos de los especificados en las normas europeas”.</w:t>
            </w:r>
          </w:p>
        </w:tc>
      </w:tr>
      <w:tr w:rsidR="00C7085E" w:rsidTr="00C7085E">
        <w:tc>
          <w:tcPr>
            <w:tcW w:w="1985" w:type="dxa"/>
          </w:tcPr>
          <w:p w:rsidR="00C7085E" w:rsidRDefault="00C7085E" w:rsidP="00B71B1A">
            <w:pPr>
              <w:spacing w:before="120" w:after="240" w:line="276" w:lineRule="auto"/>
              <w:ind w:right="-285"/>
            </w:pPr>
          </w:p>
        </w:tc>
        <w:tc>
          <w:tcPr>
            <w:tcW w:w="2126" w:type="dxa"/>
            <w:hideMark/>
          </w:tcPr>
          <w:p w:rsidR="00C7085E" w:rsidRDefault="00C7085E" w:rsidP="00B71B1A">
            <w:pPr>
              <w:spacing w:before="120" w:after="240" w:line="276" w:lineRule="auto"/>
              <w:ind w:right="-285"/>
            </w:pPr>
            <w:r>
              <w:t>UNE-EN 10025-2</w:t>
            </w:r>
          </w:p>
        </w:tc>
        <w:tc>
          <w:tcPr>
            <w:tcW w:w="4500" w:type="dxa"/>
            <w:hideMark/>
          </w:tcPr>
          <w:p w:rsidR="00C7085E" w:rsidRDefault="00C7085E" w:rsidP="00B71B1A">
            <w:pPr>
              <w:spacing w:before="120" w:after="240" w:line="276" w:lineRule="auto"/>
              <w:ind w:right="-285"/>
              <w:rPr>
                <w:i/>
              </w:rPr>
            </w:pPr>
            <w:r>
              <w:rPr>
                <w:i/>
              </w:rPr>
              <w:t>“Productos laminados en caliente de acero para estructuras”</w:t>
            </w:r>
          </w:p>
        </w:tc>
      </w:tr>
      <w:tr w:rsidR="00C7085E" w:rsidTr="00C7085E">
        <w:tc>
          <w:tcPr>
            <w:tcW w:w="1985" w:type="dxa"/>
          </w:tcPr>
          <w:p w:rsidR="00C7085E" w:rsidRDefault="00C7085E" w:rsidP="00B71B1A">
            <w:pPr>
              <w:spacing w:before="120" w:after="240" w:line="276" w:lineRule="auto"/>
              <w:ind w:right="-285"/>
            </w:pPr>
          </w:p>
        </w:tc>
        <w:tc>
          <w:tcPr>
            <w:tcW w:w="2126" w:type="dxa"/>
            <w:hideMark/>
          </w:tcPr>
          <w:p w:rsidR="00C7085E" w:rsidRDefault="00C7085E" w:rsidP="00B71B1A">
            <w:pPr>
              <w:spacing w:before="120" w:after="240" w:line="276" w:lineRule="auto"/>
              <w:ind w:right="-285"/>
              <w:rPr>
                <w:bCs/>
                <w:color w:val="000000"/>
              </w:rPr>
            </w:pPr>
            <w:r>
              <w:t>UNE-EN 10028-1:</w:t>
            </w:r>
          </w:p>
        </w:tc>
        <w:tc>
          <w:tcPr>
            <w:tcW w:w="4500" w:type="dxa"/>
            <w:hideMark/>
          </w:tcPr>
          <w:p w:rsidR="00C7085E" w:rsidRDefault="00C7085E" w:rsidP="00B71B1A">
            <w:pPr>
              <w:spacing w:before="120" w:after="240" w:line="276" w:lineRule="auto"/>
              <w:ind w:right="-285"/>
              <w:rPr>
                <w:i/>
              </w:rPr>
            </w:pPr>
            <w:r>
              <w:rPr>
                <w:i/>
              </w:rPr>
              <w:t>“Productos planos de acero para aplicaciones a presión. Parte 1: Prescripciones generales”.</w:t>
            </w:r>
          </w:p>
        </w:tc>
      </w:tr>
      <w:tr w:rsidR="00C7085E" w:rsidTr="00C7085E">
        <w:tc>
          <w:tcPr>
            <w:tcW w:w="1985" w:type="dxa"/>
          </w:tcPr>
          <w:p w:rsidR="00C7085E" w:rsidRDefault="00C7085E" w:rsidP="00B71B1A">
            <w:pPr>
              <w:spacing w:before="120" w:after="240" w:line="276" w:lineRule="auto"/>
              <w:ind w:right="-285"/>
            </w:pPr>
          </w:p>
        </w:tc>
        <w:tc>
          <w:tcPr>
            <w:tcW w:w="2126" w:type="dxa"/>
            <w:hideMark/>
          </w:tcPr>
          <w:p w:rsidR="00C7085E" w:rsidRDefault="00C7085E" w:rsidP="00B71B1A">
            <w:pPr>
              <w:spacing w:before="120" w:after="240" w:line="276" w:lineRule="auto"/>
              <w:ind w:right="-285"/>
            </w:pPr>
            <w:r>
              <w:t>UNE-EN 10028-2:</w:t>
            </w:r>
          </w:p>
        </w:tc>
        <w:tc>
          <w:tcPr>
            <w:tcW w:w="4500" w:type="dxa"/>
            <w:hideMark/>
          </w:tcPr>
          <w:p w:rsidR="00C7085E" w:rsidRDefault="00C7085E" w:rsidP="00B71B1A">
            <w:pPr>
              <w:spacing w:before="120" w:after="240" w:line="276" w:lineRule="auto"/>
              <w:ind w:right="-285"/>
              <w:rPr>
                <w:i/>
              </w:rPr>
            </w:pPr>
            <w:r>
              <w:rPr>
                <w:i/>
              </w:rPr>
              <w:t>“Productos planos de acero para aplicaciones a presión. Parte 2: Aceros no aleados y aleados con propiedades especificadas a altas temperaturas”.</w:t>
            </w:r>
          </w:p>
        </w:tc>
      </w:tr>
      <w:tr w:rsidR="00C7085E" w:rsidTr="00C7085E">
        <w:tc>
          <w:tcPr>
            <w:tcW w:w="1985" w:type="dxa"/>
            <w:hideMark/>
          </w:tcPr>
          <w:p w:rsidR="00C7085E" w:rsidRDefault="00C7085E" w:rsidP="00B71B1A">
            <w:pPr>
              <w:spacing w:before="120" w:after="240" w:line="276" w:lineRule="auto"/>
              <w:ind w:right="-285"/>
            </w:pPr>
            <w:r>
              <w:t>Acero inoxidable:</w:t>
            </w:r>
          </w:p>
        </w:tc>
        <w:tc>
          <w:tcPr>
            <w:tcW w:w="2126" w:type="dxa"/>
            <w:hideMark/>
          </w:tcPr>
          <w:p w:rsidR="00C7085E" w:rsidRDefault="00C7085E" w:rsidP="00B71B1A">
            <w:pPr>
              <w:spacing w:before="120" w:after="240" w:line="276" w:lineRule="auto"/>
              <w:ind w:right="-285"/>
            </w:pPr>
            <w:r>
              <w:t>UNE-EN 10088:</w:t>
            </w:r>
          </w:p>
        </w:tc>
        <w:tc>
          <w:tcPr>
            <w:tcW w:w="4500" w:type="dxa"/>
            <w:hideMark/>
          </w:tcPr>
          <w:p w:rsidR="00C7085E" w:rsidRDefault="00C7085E" w:rsidP="00B71B1A">
            <w:pPr>
              <w:spacing w:before="120" w:after="240" w:line="276" w:lineRule="auto"/>
              <w:ind w:right="-285"/>
              <w:rPr>
                <w:i/>
              </w:rPr>
            </w:pPr>
            <w:r>
              <w:rPr>
                <w:i/>
              </w:rPr>
              <w:t>“Aceros inoxidables”.</w:t>
            </w:r>
          </w:p>
        </w:tc>
      </w:tr>
      <w:tr w:rsidR="00C7085E" w:rsidTr="00C7085E">
        <w:tc>
          <w:tcPr>
            <w:tcW w:w="1985" w:type="dxa"/>
            <w:hideMark/>
          </w:tcPr>
          <w:p w:rsidR="00C7085E" w:rsidRDefault="00C7085E" w:rsidP="00B71B1A">
            <w:pPr>
              <w:spacing w:before="120" w:after="240" w:line="276" w:lineRule="auto"/>
              <w:ind w:right="-285"/>
            </w:pPr>
            <w:r>
              <w:t>Fundición dúctil:</w:t>
            </w:r>
          </w:p>
        </w:tc>
        <w:tc>
          <w:tcPr>
            <w:tcW w:w="2126" w:type="dxa"/>
            <w:hideMark/>
          </w:tcPr>
          <w:p w:rsidR="00C7085E" w:rsidRDefault="00C7085E" w:rsidP="00B71B1A">
            <w:pPr>
              <w:spacing w:before="120" w:after="240" w:line="276" w:lineRule="auto"/>
              <w:ind w:right="-285"/>
            </w:pPr>
            <w:r>
              <w:t>UNE-EN   1503-3:</w:t>
            </w:r>
          </w:p>
        </w:tc>
        <w:tc>
          <w:tcPr>
            <w:tcW w:w="4500" w:type="dxa"/>
            <w:hideMark/>
          </w:tcPr>
          <w:p w:rsidR="00C7085E" w:rsidRDefault="00C7085E" w:rsidP="00B71B1A">
            <w:pPr>
              <w:spacing w:before="120" w:after="240" w:line="276" w:lineRule="auto"/>
              <w:ind w:right="-285"/>
              <w:rPr>
                <w:i/>
              </w:rPr>
            </w:pPr>
            <w:r>
              <w:rPr>
                <w:i/>
              </w:rPr>
              <w:t>“Válvulas. Materiales para los cuerpos, caperuzas y cubiertas. Parte 3: Fundiciones especificadas en las normas europeas”.</w:t>
            </w:r>
          </w:p>
        </w:tc>
      </w:tr>
      <w:tr w:rsidR="00C7085E" w:rsidTr="00C7085E">
        <w:tc>
          <w:tcPr>
            <w:tcW w:w="1985" w:type="dxa"/>
          </w:tcPr>
          <w:p w:rsidR="00C7085E" w:rsidRDefault="00C7085E" w:rsidP="00B71B1A">
            <w:pPr>
              <w:spacing w:before="120" w:after="240" w:line="276" w:lineRule="auto"/>
              <w:ind w:right="-285"/>
            </w:pPr>
          </w:p>
        </w:tc>
        <w:tc>
          <w:tcPr>
            <w:tcW w:w="2126" w:type="dxa"/>
            <w:hideMark/>
          </w:tcPr>
          <w:p w:rsidR="00C7085E" w:rsidRDefault="00C7085E" w:rsidP="00B71B1A">
            <w:pPr>
              <w:spacing w:before="120" w:after="240" w:line="276" w:lineRule="auto"/>
              <w:ind w:right="-285"/>
            </w:pPr>
            <w:r>
              <w:t>UNE-EN   1563:</w:t>
            </w:r>
          </w:p>
        </w:tc>
        <w:tc>
          <w:tcPr>
            <w:tcW w:w="4500" w:type="dxa"/>
            <w:hideMark/>
          </w:tcPr>
          <w:p w:rsidR="00C7085E" w:rsidRDefault="00C7085E" w:rsidP="00B71B1A">
            <w:pPr>
              <w:spacing w:before="120" w:after="240" w:line="276" w:lineRule="auto"/>
              <w:ind w:right="-285"/>
              <w:rPr>
                <w:i/>
              </w:rPr>
            </w:pPr>
            <w:r>
              <w:rPr>
                <w:i/>
              </w:rPr>
              <w:t>“Fundición. Fundición de grafito esferoidal”.</w:t>
            </w:r>
          </w:p>
        </w:tc>
      </w:tr>
      <w:tr w:rsidR="00C7085E" w:rsidTr="00C7085E">
        <w:tc>
          <w:tcPr>
            <w:tcW w:w="1985" w:type="dxa"/>
            <w:hideMark/>
          </w:tcPr>
          <w:p w:rsidR="00C7085E" w:rsidRDefault="00C7085E" w:rsidP="00B71B1A">
            <w:pPr>
              <w:spacing w:before="120" w:after="240" w:line="276" w:lineRule="auto"/>
              <w:ind w:right="-285"/>
            </w:pPr>
            <w:r>
              <w:t>Aleaciones de cobre</w:t>
            </w:r>
          </w:p>
        </w:tc>
        <w:tc>
          <w:tcPr>
            <w:tcW w:w="2126" w:type="dxa"/>
            <w:hideMark/>
          </w:tcPr>
          <w:p w:rsidR="00C7085E" w:rsidRDefault="00C7085E" w:rsidP="00B71B1A">
            <w:pPr>
              <w:spacing w:before="120" w:after="240" w:line="276" w:lineRule="auto"/>
              <w:ind w:right="-285"/>
            </w:pPr>
            <w:r>
              <w:t>UNE-EN   1412:</w:t>
            </w:r>
          </w:p>
        </w:tc>
        <w:tc>
          <w:tcPr>
            <w:tcW w:w="4500" w:type="dxa"/>
            <w:hideMark/>
          </w:tcPr>
          <w:p w:rsidR="00C7085E" w:rsidRDefault="00C7085E" w:rsidP="00B71B1A">
            <w:pPr>
              <w:spacing w:before="120" w:after="240" w:line="276" w:lineRule="auto"/>
              <w:ind w:right="-285"/>
              <w:rPr>
                <w:i/>
              </w:rPr>
            </w:pPr>
            <w:r>
              <w:rPr>
                <w:i/>
              </w:rPr>
              <w:t>“Cobre y aleaciones de cobre. Sistema europeo de designación numérica”.</w:t>
            </w:r>
          </w:p>
        </w:tc>
      </w:tr>
      <w:tr w:rsidR="00C7085E" w:rsidTr="00C7085E">
        <w:tc>
          <w:tcPr>
            <w:tcW w:w="1985" w:type="dxa"/>
          </w:tcPr>
          <w:p w:rsidR="00C7085E" w:rsidRDefault="00C7085E" w:rsidP="00B71B1A">
            <w:pPr>
              <w:spacing w:before="120" w:after="240" w:line="276" w:lineRule="auto"/>
              <w:ind w:right="-285"/>
            </w:pPr>
          </w:p>
        </w:tc>
        <w:tc>
          <w:tcPr>
            <w:tcW w:w="2126" w:type="dxa"/>
            <w:hideMark/>
          </w:tcPr>
          <w:p w:rsidR="00C7085E" w:rsidRDefault="00C7085E" w:rsidP="00B71B1A">
            <w:pPr>
              <w:spacing w:before="120" w:after="240" w:line="276" w:lineRule="auto"/>
              <w:ind w:right="-285"/>
            </w:pPr>
            <w:r>
              <w:t>UNE-EN   1982:</w:t>
            </w:r>
          </w:p>
        </w:tc>
        <w:tc>
          <w:tcPr>
            <w:tcW w:w="4500" w:type="dxa"/>
            <w:hideMark/>
          </w:tcPr>
          <w:p w:rsidR="00C7085E" w:rsidRDefault="00C7085E" w:rsidP="00B71B1A">
            <w:pPr>
              <w:spacing w:before="120" w:after="240" w:line="276" w:lineRule="auto"/>
              <w:ind w:right="-285"/>
              <w:rPr>
                <w:i/>
              </w:rPr>
            </w:pPr>
            <w:r>
              <w:rPr>
                <w:i/>
              </w:rPr>
              <w:t xml:space="preserve">“Cobre y aleaciones de cobre. Lingotes y </w:t>
            </w:r>
            <w:r>
              <w:rPr>
                <w:i/>
              </w:rPr>
              <w:lastRenderedPageBreak/>
              <w:t>piezas fundidas”.</w:t>
            </w:r>
          </w:p>
        </w:tc>
      </w:tr>
      <w:tr w:rsidR="00C7085E" w:rsidTr="00C7085E">
        <w:tc>
          <w:tcPr>
            <w:tcW w:w="1985" w:type="dxa"/>
          </w:tcPr>
          <w:p w:rsidR="00C7085E" w:rsidRDefault="00C7085E" w:rsidP="00B71B1A">
            <w:pPr>
              <w:spacing w:before="120" w:after="240" w:line="276" w:lineRule="auto"/>
              <w:ind w:right="-285"/>
            </w:pPr>
          </w:p>
        </w:tc>
        <w:tc>
          <w:tcPr>
            <w:tcW w:w="2126" w:type="dxa"/>
            <w:hideMark/>
          </w:tcPr>
          <w:p w:rsidR="00C7085E" w:rsidRDefault="00C7085E" w:rsidP="00B71B1A">
            <w:pPr>
              <w:spacing w:before="120" w:after="240" w:line="276" w:lineRule="auto"/>
              <w:ind w:right="-285"/>
            </w:pPr>
            <w:r>
              <w:t>UNE-EN   1503-4:</w:t>
            </w:r>
          </w:p>
        </w:tc>
        <w:tc>
          <w:tcPr>
            <w:tcW w:w="4500" w:type="dxa"/>
            <w:hideMark/>
          </w:tcPr>
          <w:p w:rsidR="00C7085E" w:rsidRDefault="00C7085E" w:rsidP="00B71B1A">
            <w:pPr>
              <w:spacing w:before="120" w:after="240" w:line="276" w:lineRule="auto"/>
              <w:ind w:right="-285"/>
              <w:rPr>
                <w:i/>
              </w:rPr>
            </w:pPr>
            <w:r>
              <w:rPr>
                <w:i/>
              </w:rPr>
              <w:t>“Válvulas. Materiales para los cuerpos, caperuzas y cubiertas. Parte 4: Aleaciones de cobre especificadas en las normas europeas”.</w:t>
            </w:r>
          </w:p>
        </w:tc>
      </w:tr>
      <w:tr w:rsidR="00C7085E" w:rsidTr="00C7085E">
        <w:tc>
          <w:tcPr>
            <w:tcW w:w="1985" w:type="dxa"/>
          </w:tcPr>
          <w:p w:rsidR="00C7085E" w:rsidRDefault="00C7085E" w:rsidP="00B71B1A">
            <w:pPr>
              <w:spacing w:before="120" w:after="240" w:line="276" w:lineRule="auto"/>
              <w:ind w:right="-285"/>
            </w:pPr>
          </w:p>
        </w:tc>
        <w:tc>
          <w:tcPr>
            <w:tcW w:w="2126" w:type="dxa"/>
            <w:hideMark/>
          </w:tcPr>
          <w:p w:rsidR="00C7085E" w:rsidRDefault="00C7085E" w:rsidP="00B71B1A">
            <w:pPr>
              <w:spacing w:before="120" w:after="240" w:line="276" w:lineRule="auto"/>
              <w:ind w:right="-285"/>
            </w:pPr>
            <w:r>
              <w:t>UNE-EN 12165:</w:t>
            </w:r>
          </w:p>
        </w:tc>
        <w:tc>
          <w:tcPr>
            <w:tcW w:w="4500" w:type="dxa"/>
            <w:hideMark/>
          </w:tcPr>
          <w:p w:rsidR="00C7085E" w:rsidRDefault="00C7085E" w:rsidP="00B71B1A">
            <w:pPr>
              <w:spacing w:before="120" w:after="240" w:line="276" w:lineRule="auto"/>
              <w:ind w:right="-285"/>
              <w:rPr>
                <w:i/>
              </w:rPr>
            </w:pPr>
            <w:r>
              <w:rPr>
                <w:i/>
              </w:rPr>
              <w:t>“Cobre y aleaciones de cobre. Semiproductos para forja”.</w:t>
            </w:r>
          </w:p>
        </w:tc>
      </w:tr>
      <w:tr w:rsidR="00C7085E" w:rsidTr="00C7085E">
        <w:tc>
          <w:tcPr>
            <w:tcW w:w="1985" w:type="dxa"/>
            <w:hideMark/>
          </w:tcPr>
          <w:p w:rsidR="00C7085E" w:rsidRDefault="00C7085E" w:rsidP="00B71B1A">
            <w:pPr>
              <w:spacing w:before="120" w:after="240" w:line="276" w:lineRule="auto"/>
              <w:ind w:right="-285"/>
            </w:pPr>
            <w:r>
              <w:t>Juntas elastoméricas</w:t>
            </w:r>
          </w:p>
        </w:tc>
        <w:tc>
          <w:tcPr>
            <w:tcW w:w="2126" w:type="dxa"/>
            <w:hideMark/>
          </w:tcPr>
          <w:p w:rsidR="00C7085E" w:rsidRDefault="00C7085E" w:rsidP="00B71B1A">
            <w:pPr>
              <w:spacing w:before="120" w:after="240" w:line="276" w:lineRule="auto"/>
              <w:ind w:right="-285"/>
            </w:pPr>
            <w:r>
              <w:t>UNE-EN    681-1:</w:t>
            </w:r>
          </w:p>
        </w:tc>
        <w:tc>
          <w:tcPr>
            <w:tcW w:w="4500" w:type="dxa"/>
            <w:hideMark/>
          </w:tcPr>
          <w:p w:rsidR="00C7085E" w:rsidRDefault="00C7085E" w:rsidP="00B71B1A">
            <w:pPr>
              <w:spacing w:before="120" w:after="240" w:line="276" w:lineRule="auto"/>
              <w:ind w:right="-285"/>
              <w:rPr>
                <w:i/>
              </w:rPr>
            </w:pPr>
            <w:r>
              <w:rPr>
                <w:i/>
              </w:rPr>
              <w:t>“Juntas elastoméricas. Requisitos de los materiales para juntas de estanquidad de tuberías empleadas en canalizaciones de agua y en drenaje. Parte 1: Caucho vulcanizado”.</w:t>
            </w:r>
          </w:p>
        </w:tc>
      </w:tr>
    </w:tbl>
    <w:p w:rsidR="00C7085E" w:rsidRDefault="00C7085E" w:rsidP="00B71B1A">
      <w:pPr>
        <w:keepNext/>
        <w:keepLines/>
        <w:spacing w:before="120" w:after="240" w:line="276" w:lineRule="auto"/>
        <w:ind w:right="-285"/>
        <w:rPr>
          <w:lang w:val="es-ES_tradnl" w:eastAsia="es-ES_tradnl"/>
        </w:rPr>
      </w:pPr>
      <w:r>
        <w:t>La calidad de los distintos materiales de los componentes de las válvulas deberán ser al menos, las indicadas a continuación:</w:t>
      </w:r>
    </w:p>
    <w:tbl>
      <w:tblPr>
        <w:tblW w:w="8657" w:type="dxa"/>
        <w:tblInd w:w="60" w:type="dxa"/>
        <w:tblBorders>
          <w:top w:val="single" w:sz="4" w:space="0" w:color="auto"/>
          <w:bottom w:val="single" w:sz="4" w:space="0" w:color="auto"/>
          <w:insideV w:val="single" w:sz="4" w:space="0" w:color="auto"/>
        </w:tblBorders>
        <w:tblCellMar>
          <w:left w:w="70" w:type="dxa"/>
          <w:right w:w="70" w:type="dxa"/>
        </w:tblCellMar>
        <w:tblLook w:val="04A0" w:firstRow="1" w:lastRow="0" w:firstColumn="1" w:lastColumn="0" w:noHBand="0" w:noVBand="1"/>
      </w:tblPr>
      <w:tblGrid>
        <w:gridCol w:w="2137"/>
        <w:gridCol w:w="6520"/>
      </w:tblGrid>
      <w:tr w:rsidR="00C7085E" w:rsidTr="00C7085E">
        <w:trPr>
          <w:trHeight w:val="600"/>
        </w:trPr>
        <w:tc>
          <w:tcPr>
            <w:tcW w:w="2137" w:type="dxa"/>
            <w:tcBorders>
              <w:top w:val="nil"/>
              <w:left w:val="nil"/>
              <w:bottom w:val="nil"/>
              <w:right w:val="nil"/>
            </w:tcBorders>
            <w:noWrap/>
            <w:vAlign w:val="center"/>
            <w:hideMark/>
          </w:tcPr>
          <w:p w:rsidR="00C7085E" w:rsidRDefault="00C7085E" w:rsidP="00B71B1A">
            <w:pPr>
              <w:keepNext/>
              <w:keepLines/>
              <w:spacing w:before="120" w:after="240" w:line="276" w:lineRule="auto"/>
              <w:ind w:right="-285"/>
            </w:pPr>
            <w:r>
              <w:t>Acero:</w:t>
            </w:r>
          </w:p>
        </w:tc>
        <w:tc>
          <w:tcPr>
            <w:tcW w:w="6520" w:type="dxa"/>
            <w:tcBorders>
              <w:top w:val="nil"/>
              <w:left w:val="nil"/>
              <w:bottom w:val="nil"/>
              <w:right w:val="nil"/>
            </w:tcBorders>
            <w:noWrap/>
            <w:vAlign w:val="center"/>
            <w:hideMark/>
          </w:tcPr>
          <w:p w:rsidR="00C7085E" w:rsidRDefault="00C7085E" w:rsidP="00B71B1A">
            <w:pPr>
              <w:keepNext/>
              <w:keepLines/>
              <w:spacing w:before="120" w:after="240" w:line="276" w:lineRule="auto"/>
              <w:ind w:right="-285"/>
              <w:rPr>
                <w:rFonts w:cs="Arial"/>
                <w:color w:val="000000"/>
                <w:szCs w:val="22"/>
              </w:rPr>
            </w:pPr>
            <w:r>
              <w:rPr>
                <w:rFonts w:cs="Arial"/>
                <w:color w:val="000000"/>
                <w:szCs w:val="22"/>
              </w:rPr>
              <w:t> 8.8</w:t>
            </w:r>
          </w:p>
        </w:tc>
      </w:tr>
      <w:tr w:rsidR="00C7085E" w:rsidTr="00C7085E">
        <w:trPr>
          <w:trHeight w:val="600"/>
        </w:trPr>
        <w:tc>
          <w:tcPr>
            <w:tcW w:w="2137" w:type="dxa"/>
            <w:tcBorders>
              <w:top w:val="nil"/>
              <w:left w:val="nil"/>
              <w:bottom w:val="nil"/>
              <w:right w:val="nil"/>
            </w:tcBorders>
            <w:noWrap/>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Acero inoxidable:</w:t>
            </w:r>
          </w:p>
        </w:tc>
        <w:tc>
          <w:tcPr>
            <w:tcW w:w="6520" w:type="dxa"/>
            <w:tcBorders>
              <w:top w:val="nil"/>
              <w:left w:val="nil"/>
              <w:bottom w:val="nil"/>
              <w:right w:val="nil"/>
            </w:tcBorders>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1.4021, 1.4057, 1.4301, 1.4306, 1.4401, 1.4404, 1.4435,1.4436</w:t>
            </w:r>
          </w:p>
        </w:tc>
      </w:tr>
      <w:tr w:rsidR="00C7085E" w:rsidTr="00C7085E">
        <w:trPr>
          <w:trHeight w:val="300"/>
        </w:trPr>
        <w:tc>
          <w:tcPr>
            <w:tcW w:w="2137" w:type="dxa"/>
            <w:tcBorders>
              <w:top w:val="nil"/>
              <w:left w:val="nil"/>
              <w:bottom w:val="nil"/>
              <w:right w:val="nil"/>
            </w:tcBorders>
            <w:noWrap/>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Acero al carbono:</w:t>
            </w:r>
          </w:p>
        </w:tc>
        <w:tc>
          <w:tcPr>
            <w:tcW w:w="6520" w:type="dxa"/>
            <w:tcBorders>
              <w:top w:val="nil"/>
              <w:left w:val="nil"/>
              <w:bottom w:val="nil"/>
              <w:right w:val="nil"/>
            </w:tcBorders>
            <w:noWrap/>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S275JR</w:t>
            </w:r>
          </w:p>
        </w:tc>
      </w:tr>
      <w:tr w:rsidR="00C7085E" w:rsidTr="00C7085E">
        <w:trPr>
          <w:trHeight w:val="300"/>
        </w:trPr>
        <w:tc>
          <w:tcPr>
            <w:tcW w:w="2137" w:type="dxa"/>
            <w:tcBorders>
              <w:top w:val="nil"/>
              <w:left w:val="nil"/>
              <w:bottom w:val="nil"/>
              <w:right w:val="nil"/>
            </w:tcBorders>
            <w:noWrap/>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Fundición nodular:</w:t>
            </w:r>
          </w:p>
        </w:tc>
        <w:tc>
          <w:tcPr>
            <w:tcW w:w="6520" w:type="dxa"/>
            <w:tcBorders>
              <w:top w:val="nil"/>
              <w:left w:val="nil"/>
              <w:bottom w:val="nil"/>
              <w:right w:val="nil"/>
            </w:tcBorders>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 xml:space="preserve">GJS-400-15, GJS-400-18, GJS-500-7, </w:t>
            </w:r>
          </w:p>
        </w:tc>
      </w:tr>
      <w:tr w:rsidR="00C7085E" w:rsidTr="00C7085E">
        <w:trPr>
          <w:trHeight w:val="300"/>
        </w:trPr>
        <w:tc>
          <w:tcPr>
            <w:tcW w:w="2137" w:type="dxa"/>
            <w:tcBorders>
              <w:top w:val="nil"/>
              <w:left w:val="nil"/>
              <w:bottom w:val="nil"/>
              <w:right w:val="nil"/>
            </w:tcBorders>
            <w:noWrap/>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Fundición gris:</w:t>
            </w:r>
          </w:p>
        </w:tc>
        <w:tc>
          <w:tcPr>
            <w:tcW w:w="6520" w:type="dxa"/>
            <w:tcBorders>
              <w:top w:val="nil"/>
              <w:left w:val="nil"/>
              <w:bottom w:val="nil"/>
              <w:right w:val="nil"/>
            </w:tcBorders>
            <w:noWrap/>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EN-GJL-250</w:t>
            </w:r>
          </w:p>
        </w:tc>
      </w:tr>
      <w:tr w:rsidR="00C7085E" w:rsidRPr="004A6A0E" w:rsidTr="00C7085E">
        <w:trPr>
          <w:trHeight w:val="300"/>
        </w:trPr>
        <w:tc>
          <w:tcPr>
            <w:tcW w:w="2137" w:type="dxa"/>
            <w:tcBorders>
              <w:top w:val="nil"/>
              <w:left w:val="nil"/>
              <w:bottom w:val="nil"/>
              <w:right w:val="nil"/>
            </w:tcBorders>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Bronce</w:t>
            </w:r>
          </w:p>
        </w:tc>
        <w:tc>
          <w:tcPr>
            <w:tcW w:w="6520" w:type="dxa"/>
            <w:tcBorders>
              <w:top w:val="nil"/>
              <w:left w:val="nil"/>
              <w:bottom w:val="nil"/>
              <w:right w:val="nil"/>
            </w:tcBorders>
            <w:noWrap/>
            <w:vAlign w:val="center"/>
            <w:hideMark/>
          </w:tcPr>
          <w:p w:rsidR="00C7085E" w:rsidRDefault="00C7085E" w:rsidP="00B71B1A">
            <w:pPr>
              <w:spacing w:before="120" w:after="240" w:line="276" w:lineRule="auto"/>
              <w:ind w:right="-285"/>
              <w:rPr>
                <w:rFonts w:cs="Arial"/>
                <w:color w:val="000000"/>
                <w:szCs w:val="22"/>
                <w:lang w:val="en-US"/>
              </w:rPr>
            </w:pPr>
            <w:r>
              <w:rPr>
                <w:rFonts w:cs="Arial"/>
                <w:color w:val="000000"/>
                <w:szCs w:val="22"/>
                <w:lang w:val="en-US"/>
              </w:rPr>
              <w:t>CC491K, CC483K, CB754S, CC333G, CB754S</w:t>
            </w:r>
          </w:p>
        </w:tc>
      </w:tr>
      <w:tr w:rsidR="00C7085E" w:rsidTr="00C7085E">
        <w:trPr>
          <w:trHeight w:val="300"/>
        </w:trPr>
        <w:tc>
          <w:tcPr>
            <w:tcW w:w="2137" w:type="dxa"/>
            <w:tcBorders>
              <w:top w:val="nil"/>
              <w:left w:val="nil"/>
              <w:bottom w:val="nil"/>
              <w:right w:val="nil"/>
            </w:tcBorders>
            <w:vAlign w:val="center"/>
            <w:hideMark/>
          </w:tcPr>
          <w:p w:rsidR="00C7085E" w:rsidRDefault="00C7085E" w:rsidP="00B71B1A">
            <w:pPr>
              <w:spacing w:before="120" w:after="240" w:line="276" w:lineRule="auto"/>
              <w:ind w:right="-285"/>
              <w:rPr>
                <w:rFonts w:cs="Arial"/>
                <w:color w:val="000000"/>
                <w:szCs w:val="22"/>
                <w:lang w:val="es-ES_tradnl"/>
              </w:rPr>
            </w:pPr>
            <w:r>
              <w:rPr>
                <w:rFonts w:cs="Arial"/>
                <w:color w:val="000000"/>
                <w:szCs w:val="22"/>
              </w:rPr>
              <w:t>Latón:</w:t>
            </w:r>
          </w:p>
        </w:tc>
        <w:tc>
          <w:tcPr>
            <w:tcW w:w="6520" w:type="dxa"/>
            <w:tcBorders>
              <w:top w:val="nil"/>
              <w:left w:val="nil"/>
              <w:bottom w:val="nil"/>
              <w:right w:val="nil"/>
            </w:tcBorders>
            <w:noWrap/>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CW603N</w:t>
            </w:r>
          </w:p>
          <w:p w:rsidR="00C7085E" w:rsidRDefault="00C7085E" w:rsidP="00B71B1A">
            <w:pPr>
              <w:spacing w:before="120" w:after="240" w:line="276" w:lineRule="auto"/>
              <w:ind w:right="-285"/>
              <w:rPr>
                <w:rFonts w:cs="Arial"/>
                <w:color w:val="000000"/>
                <w:szCs w:val="22"/>
              </w:rPr>
            </w:pPr>
            <w:r>
              <w:rPr>
                <w:rFonts w:cs="Arial"/>
                <w:color w:val="000000"/>
                <w:szCs w:val="22"/>
              </w:rPr>
              <w:t>CW602N, CW614N, CW 617N, CW 713R</w:t>
            </w:r>
          </w:p>
        </w:tc>
      </w:tr>
      <w:tr w:rsidR="00C7085E" w:rsidTr="00C7085E">
        <w:trPr>
          <w:trHeight w:val="300"/>
        </w:trPr>
        <w:tc>
          <w:tcPr>
            <w:tcW w:w="2137" w:type="dxa"/>
            <w:vMerge w:val="restart"/>
            <w:tcBorders>
              <w:top w:val="nil"/>
              <w:left w:val="nil"/>
              <w:bottom w:val="nil"/>
              <w:right w:val="nil"/>
            </w:tcBorders>
            <w:noWrap/>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Elastómeros:</w:t>
            </w:r>
          </w:p>
        </w:tc>
        <w:tc>
          <w:tcPr>
            <w:tcW w:w="6520" w:type="dxa"/>
            <w:tcBorders>
              <w:top w:val="nil"/>
              <w:left w:val="nil"/>
              <w:bottom w:val="nil"/>
              <w:right w:val="nil"/>
            </w:tcBorders>
            <w:noWrap/>
            <w:vAlign w:val="center"/>
            <w:hideMark/>
          </w:tcPr>
          <w:p w:rsidR="00C7085E" w:rsidRDefault="00C7085E" w:rsidP="00B71B1A">
            <w:pPr>
              <w:spacing w:before="120" w:after="240" w:line="276" w:lineRule="auto"/>
              <w:ind w:right="-285"/>
              <w:rPr>
                <w:rFonts w:cs="Arial"/>
                <w:color w:val="000000"/>
                <w:szCs w:val="22"/>
              </w:rPr>
            </w:pPr>
            <w:r>
              <w:rPr>
                <w:rFonts w:cs="Arial"/>
                <w:color w:val="000000"/>
                <w:szCs w:val="22"/>
              </w:rPr>
              <w:t>EPDM WA DUREZA 60 70</w:t>
            </w:r>
          </w:p>
        </w:tc>
      </w:tr>
      <w:tr w:rsidR="00C7085E" w:rsidTr="00C7085E">
        <w:trPr>
          <w:trHeight w:val="300"/>
        </w:trPr>
        <w:tc>
          <w:tcPr>
            <w:tcW w:w="0" w:type="auto"/>
            <w:vMerge/>
            <w:tcBorders>
              <w:top w:val="nil"/>
              <w:left w:val="nil"/>
              <w:bottom w:val="nil"/>
              <w:right w:val="nil"/>
            </w:tcBorders>
            <w:vAlign w:val="center"/>
            <w:hideMark/>
          </w:tcPr>
          <w:p w:rsidR="00C7085E" w:rsidRDefault="00C7085E" w:rsidP="00B71B1A">
            <w:pPr>
              <w:spacing w:before="120" w:after="240" w:line="276" w:lineRule="auto"/>
              <w:ind w:right="-285"/>
              <w:jc w:val="left"/>
              <w:rPr>
                <w:rFonts w:cs="Arial"/>
                <w:color w:val="000000"/>
                <w:szCs w:val="22"/>
                <w:lang w:val="es-ES_tradnl" w:eastAsia="es-ES_tradnl"/>
              </w:rPr>
            </w:pPr>
          </w:p>
        </w:tc>
        <w:tc>
          <w:tcPr>
            <w:tcW w:w="6520" w:type="dxa"/>
            <w:tcBorders>
              <w:top w:val="nil"/>
              <w:left w:val="nil"/>
              <w:bottom w:val="nil"/>
              <w:right w:val="nil"/>
            </w:tcBorders>
            <w:noWrap/>
            <w:vAlign w:val="center"/>
            <w:hideMark/>
          </w:tcPr>
          <w:p w:rsidR="00C7085E" w:rsidRDefault="00C7085E" w:rsidP="00B71B1A">
            <w:pPr>
              <w:spacing w:before="120" w:after="240" w:line="276" w:lineRule="auto"/>
              <w:ind w:right="-285"/>
              <w:rPr>
                <w:rFonts w:cs="Arial"/>
                <w:szCs w:val="22"/>
              </w:rPr>
            </w:pPr>
            <w:r>
              <w:rPr>
                <w:rFonts w:cs="Arial"/>
                <w:szCs w:val="22"/>
              </w:rPr>
              <w:t>NBR</w:t>
            </w:r>
          </w:p>
        </w:tc>
      </w:tr>
    </w:tbl>
    <w:p w:rsidR="00C7085E" w:rsidRDefault="00C7085E" w:rsidP="00B71B1A">
      <w:pPr>
        <w:spacing w:before="120" w:after="240" w:line="276" w:lineRule="auto"/>
        <w:ind w:right="-285"/>
        <w:rPr>
          <w:lang w:val="es-ES_tradnl" w:eastAsia="es-ES_tradnl"/>
        </w:rPr>
      </w:pPr>
      <w:r>
        <w:t>Para otros materiales o calidades distintos de los detallados anteriormente se especificará la normativa y calidad mínima exigible.</w:t>
      </w:r>
    </w:p>
    <w:p w:rsidR="00C7085E" w:rsidRDefault="00C7085E" w:rsidP="00B71B1A">
      <w:pPr>
        <w:spacing w:before="120" w:after="240" w:line="276" w:lineRule="auto"/>
        <w:ind w:right="-285"/>
      </w:pPr>
      <w:r>
        <w:t xml:space="preserve">Los elementos metálicos constituidos de las válvulas deberán contar con una protección anticorrosión interior y exterior a base de una o varias capas de resina epoxi-poliamida o </w:t>
      </w:r>
      <w:r>
        <w:lastRenderedPageBreak/>
        <w:t>vitrocerámico.</w:t>
      </w:r>
    </w:p>
    <w:p w:rsidR="00C7085E" w:rsidRDefault="00C7085E" w:rsidP="00B71B1A">
      <w:pPr>
        <w:spacing w:before="120" w:after="240" w:line="276" w:lineRule="auto"/>
        <w:ind w:right="-285"/>
      </w:pPr>
      <w:r>
        <w:t>La estanqueidad entre los distintos elementos que componen las válvulas se llevará cabo mediante la interposición de una o varias juntas elastoméricas.</w:t>
      </w:r>
    </w:p>
    <w:p w:rsidR="00C7085E" w:rsidRDefault="00C7085E" w:rsidP="00B71B1A">
      <w:pPr>
        <w:spacing w:before="120" w:after="240" w:line="276" w:lineRule="auto"/>
        <w:ind w:right="-285"/>
      </w:pPr>
      <w:r>
        <w:t>Deberán disponerse de los correspondientes macizos de anclaje de hormigón armado en todos los componentes sometidos a empujes por efecto de la presión, asegurando la inmovilidad de los mismos.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48" w:name="_Toc414021890"/>
      <w:bookmarkStart w:id="649" w:name="_Toc448741481"/>
      <w:r>
        <w:t>Válvulas de compuerta</w:t>
      </w:r>
      <w:bookmarkEnd w:id="648"/>
      <w:bookmarkEnd w:id="649"/>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Las válvulas de compuerta deberán cumplir los requisitos establecidos en la Especificación técnica de elementos de maniobra y control. Válvulas de Compuerta de Canal de Isabel II Gestión.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Para la utilización y montaje de estas válvulas será necesario disponer de la aprobación del producto por parte de la Dirección de Obra.</w:t>
      </w:r>
    </w:p>
    <w:p w:rsidR="00C7085E" w:rsidRDefault="00C7085E" w:rsidP="00B71B1A">
      <w:pPr>
        <w:spacing w:before="120" w:after="240" w:line="276" w:lineRule="auto"/>
        <w:ind w:right="-285"/>
      </w:pPr>
      <w:r>
        <w:t>La unión con la conducción de las válvulas se realizará mediante bridas, intercalando un carrete de anclaje por un lado y un carrete de desmontaje por el otro.</w:t>
      </w:r>
    </w:p>
    <w:p w:rsidR="00C7085E" w:rsidRDefault="00C7085E" w:rsidP="00B71B1A">
      <w:pPr>
        <w:spacing w:before="120" w:after="240" w:line="276" w:lineRule="auto"/>
        <w:ind w:right="-285"/>
      </w:pPr>
      <w:r>
        <w:t xml:space="preserve">Deberán instalarse alojadas en cámaras, registros o arquetas que permitan el acceso, maniobra o sustitución.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La fabricación, montaje y acabado de todos los elementos componentes de las válvulas deberán estar sujetos a un estricto y documentado proceso de autocontrol de fabricación que garantice la calidad del producto acabado y suministrado.</w:t>
      </w:r>
    </w:p>
    <w:p w:rsidR="00C7085E" w:rsidRDefault="00C7085E" w:rsidP="00B71B1A">
      <w:pPr>
        <w:spacing w:before="120" w:after="240" w:line="276" w:lineRule="auto"/>
        <w:ind w:right="-285"/>
      </w:pPr>
      <w:r>
        <w:t>Será requisito indispensable que el Adjudicatario especifique la marca y modelo y presente la ficha técnica de las válvulas de compuerta a instalar.</w:t>
      </w:r>
    </w:p>
    <w:p w:rsidR="00C7085E" w:rsidRDefault="00C7085E" w:rsidP="00B71B1A">
      <w:pPr>
        <w:spacing w:before="120" w:after="240" w:line="276" w:lineRule="auto"/>
        <w:ind w:right="-285"/>
        <w:rPr>
          <w:rFonts w:cs="Arial"/>
        </w:rPr>
      </w:pPr>
      <w:r>
        <w:rPr>
          <w:rFonts w:cs="Arial"/>
        </w:rPr>
        <w:t>Se ensayarán un 10 % de las unidades a instalar.</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cs="Arial Negrita"/>
        </w:rPr>
      </w:pPr>
      <w:r>
        <w:t xml:space="preserve">Medición y abono </w:t>
      </w:r>
    </w:p>
    <w:p w:rsidR="00C7085E" w:rsidRDefault="00C7085E" w:rsidP="00B71B1A">
      <w:pPr>
        <w:spacing w:before="120" w:after="240" w:line="276" w:lineRule="auto"/>
        <w:ind w:right="-285"/>
      </w:pPr>
      <w:r>
        <w:t>Las válvulas de compuerta se medirán por unidades (ud) realmente colocadas y se abonarán al precio que corresponda, en función del diámetro nominal, de la presión nominal y de la serie, de los que figuren en el Cuadro de Precios vigente de Canal de Isabel II Gestión.</w:t>
      </w:r>
    </w:p>
    <w:p w:rsidR="00C7085E" w:rsidRDefault="00C7085E" w:rsidP="00B71B1A">
      <w:pPr>
        <w:spacing w:before="120" w:after="240" w:line="276" w:lineRule="auto"/>
        <w:ind w:right="-285"/>
      </w:pPr>
      <w:r>
        <w:t xml:space="preserve">En el precio se incluye el suministro del equipo, la instalación, incluyendo juntas elastoméricas de estanqueidad y tornillería de acero inoxidable, y cuantos medios materiales, operaciones y pruebas sean necesarias para la correcta ejecución y </w:t>
      </w:r>
      <w:r>
        <w:lastRenderedPageBreak/>
        <w:t>funcionamiento de la unidad de obra.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50" w:name="_Toc414003338"/>
      <w:bookmarkStart w:id="651" w:name="_Toc414004260"/>
      <w:bookmarkStart w:id="652" w:name="_Toc414019804"/>
      <w:bookmarkStart w:id="653" w:name="_Toc414020221"/>
      <w:bookmarkStart w:id="654" w:name="_Toc414020639"/>
      <w:bookmarkStart w:id="655" w:name="_Toc414021056"/>
      <w:bookmarkStart w:id="656" w:name="_Toc414021473"/>
      <w:bookmarkStart w:id="657" w:name="_Toc414021893"/>
      <w:bookmarkStart w:id="658" w:name="_Toc414210360"/>
      <w:bookmarkStart w:id="659" w:name="_Toc414211136"/>
      <w:bookmarkStart w:id="660" w:name="_Toc414211498"/>
      <w:bookmarkStart w:id="661" w:name="_Toc414535543"/>
      <w:bookmarkStart w:id="662" w:name="_Toc414535978"/>
      <w:bookmarkStart w:id="663" w:name="_Toc414536780"/>
      <w:bookmarkStart w:id="664" w:name="_Toc414556720"/>
      <w:bookmarkStart w:id="665" w:name="_Toc414557109"/>
      <w:bookmarkStart w:id="666" w:name="_Toc414557498"/>
      <w:bookmarkStart w:id="667" w:name="_Toc414557891"/>
      <w:bookmarkStart w:id="668" w:name="_Toc414558289"/>
      <w:bookmarkStart w:id="669" w:name="_Toc414558694"/>
      <w:bookmarkStart w:id="670" w:name="_Toc414559498"/>
      <w:bookmarkStart w:id="671" w:name="_Toc414560304"/>
      <w:bookmarkStart w:id="672" w:name="_Toc414560707"/>
      <w:bookmarkStart w:id="673" w:name="_Toc414561112"/>
      <w:bookmarkStart w:id="674" w:name="_Toc414021894"/>
      <w:bookmarkStart w:id="675" w:name="_Toc448741482"/>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t>Válvulas de mariposa</w:t>
      </w:r>
      <w:bookmarkEnd w:id="674"/>
      <w:bookmarkEnd w:id="675"/>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Las válvulas de mariposa deberán cumplir los requisitos establecidos en la Especificación técnica de elementos de maniobra y control. Válvulas de mariposa de Canal de Isabel II Gestión.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Las válvulas deberán instalarse con el eje o semi-eje en posición horizontal con el fin de evitar posibles retenciones de cuerpos extraños o sedimentaciones que eventualmente pudiera arrastrar el agua por el fondo de la tubería, dañando el cierre.</w:t>
      </w:r>
    </w:p>
    <w:p w:rsidR="00C7085E" w:rsidRDefault="00C7085E" w:rsidP="00B71B1A">
      <w:pPr>
        <w:spacing w:before="120" w:after="240" w:line="276" w:lineRule="auto"/>
        <w:ind w:right="-285"/>
      </w:pPr>
      <w:r>
        <w:t>En las válvulas con un sentido preferente de estanquidad, el fabricante deberá proporcionar indicaciones para su instalación en la documentación técnica. Las válvulas excéntricas se instalarán teniendo en cuenta el sentido que favorezca la estanquidad en posición de cerrado, de manera general, esto será considerando el eje aguas arriba del obturador.</w:t>
      </w:r>
    </w:p>
    <w:p w:rsidR="00C7085E" w:rsidRDefault="00C7085E" w:rsidP="00B71B1A">
      <w:pPr>
        <w:spacing w:before="120" w:after="240" w:line="276" w:lineRule="auto"/>
        <w:ind w:right="-285"/>
      </w:pPr>
      <w:r>
        <w:t xml:space="preserve">En redes de abastecimiento o reutilización, las válvulas de mariposa de diámetro igual o superior a seiscientos milímetros (600 mm) se instalarán con un by-pass dotado con, entre otros elementos, otra válvula de mariposa. La válvula de mariposa del by-pass deberá permanecer abierta durante la realización de maniobras en la válvula principal. Si el tramo de conducción es descendente, se instalará una ventosa aguas abajo de la válvula. Si por el contrario el tramo de conducción es ascendente, se instalará la ventosa aguas arriba de la válvula. </w:t>
      </w:r>
    </w:p>
    <w:p w:rsidR="00C7085E" w:rsidRDefault="00C7085E" w:rsidP="00B71B1A">
      <w:pPr>
        <w:spacing w:before="120" w:after="240" w:line="276" w:lineRule="auto"/>
        <w:ind w:right="-285"/>
      </w:pPr>
      <w:r>
        <w:t>Todas las válvulas de mariposa se ubicarán en alojamientos que permitan su acceso, maniobra o sustitución, en su caso.</w:t>
      </w:r>
    </w:p>
    <w:p w:rsidR="00C7085E" w:rsidRDefault="00C7085E" w:rsidP="00B71B1A">
      <w:pPr>
        <w:spacing w:before="120" w:after="240" w:line="276" w:lineRule="auto"/>
        <w:ind w:right="-285"/>
      </w:pPr>
      <w:r>
        <w:t>Para la utilización y montaje de estas válvulas será necesario disponer de la aprobación del producto por parte de la Dirección de Obra.</w:t>
      </w:r>
    </w:p>
    <w:p w:rsidR="00C7085E" w:rsidRDefault="00C7085E" w:rsidP="00B71B1A">
      <w:pPr>
        <w:spacing w:before="120" w:after="240" w:line="276" w:lineRule="auto"/>
        <w:ind w:right="-285"/>
      </w:pPr>
      <w:r>
        <w:t>La unión con la conducción de las válvulas se realizará mediante bridas, intercalando un carrete de anclaje por un lado y un carrete de desmontaje por el otro.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La fabricación, montaje y acabado de todos los elementos componentes de las válvulas deberán estar sujetos a un estricto y documentado proceso de autocontrol de fabricación que garantice la calidad del producto acabado y suministrado.</w:t>
      </w:r>
    </w:p>
    <w:p w:rsidR="00C7085E" w:rsidRDefault="00C7085E" w:rsidP="00B71B1A">
      <w:pPr>
        <w:spacing w:before="120" w:after="240" w:line="276" w:lineRule="auto"/>
        <w:ind w:right="-285"/>
      </w:pPr>
      <w:r>
        <w:t xml:space="preserve">Será requisito indispensable que el Adjudicatario especifique la marca y modelo y presente la ficha técnica de las válvulas a instalar. </w:t>
      </w:r>
    </w:p>
    <w:p w:rsidR="00C7085E" w:rsidRDefault="00C7085E" w:rsidP="00B71B1A">
      <w:pPr>
        <w:spacing w:before="120" w:after="240" w:line="276" w:lineRule="auto"/>
        <w:ind w:right="-285"/>
        <w:rPr>
          <w:rFonts w:cs="Arial"/>
        </w:rPr>
      </w:pPr>
      <w:r>
        <w:rPr>
          <w:rFonts w:cs="Arial"/>
        </w:rPr>
        <w:t>Se ensayarán un 10% de las unidades a instalar.</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cs="Arial Negrita"/>
        </w:rPr>
      </w:pPr>
      <w:r>
        <w:lastRenderedPageBreak/>
        <w:t>Medición y abono</w:t>
      </w:r>
    </w:p>
    <w:p w:rsidR="00C7085E" w:rsidRDefault="00C7085E" w:rsidP="00B71B1A">
      <w:pPr>
        <w:spacing w:before="120" w:after="240" w:line="276" w:lineRule="auto"/>
        <w:ind w:right="-285"/>
      </w:pPr>
      <w:r>
        <w:t>Las válvulas de mariposa se medirán por unidades (ud) realmente colocadas y se abonarán al precio que corresponda, en función del diámetro nominal, de la presión nominal, de la serie y del tipo de actuador, de los que figuren en el Cuadro de Precios vigente de Canal de Isabel II Gestión.</w:t>
      </w:r>
    </w:p>
    <w:p w:rsidR="00C7085E" w:rsidRDefault="00C7085E" w:rsidP="00B71B1A">
      <w:pPr>
        <w:spacing w:before="120" w:after="240" w:line="276" w:lineRule="auto"/>
        <w:ind w:right="-285"/>
      </w:pPr>
      <w:r>
        <w:t>En el precio se incluye el suministro del equipo, la instalación, incluyendo juntas elastoméricas de estanqueidad y tornillería de acero inoxidable, y cuantos medios materiales, operaciones y pruebas sean necesarias para la correcta ejecución y funcionamiento de la unidad de obra.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676" w:name="_Toc414003342"/>
      <w:bookmarkStart w:id="677" w:name="_Toc414004264"/>
      <w:bookmarkStart w:id="678" w:name="_Toc414019808"/>
      <w:bookmarkStart w:id="679" w:name="_Toc414020225"/>
      <w:bookmarkStart w:id="680" w:name="_Toc414020643"/>
      <w:bookmarkStart w:id="681" w:name="_Toc414021060"/>
      <w:bookmarkStart w:id="682" w:name="_Toc414021477"/>
      <w:bookmarkStart w:id="683" w:name="_Toc414021897"/>
      <w:bookmarkStart w:id="684" w:name="_Toc414210364"/>
      <w:bookmarkStart w:id="685" w:name="_Toc414211140"/>
      <w:bookmarkStart w:id="686" w:name="_Toc414211502"/>
      <w:bookmarkStart w:id="687" w:name="_Toc414535547"/>
      <w:bookmarkStart w:id="688" w:name="_Toc414535982"/>
      <w:bookmarkStart w:id="689" w:name="_Toc414536784"/>
      <w:bookmarkStart w:id="690" w:name="_Toc414556724"/>
      <w:bookmarkStart w:id="691" w:name="_Toc414557113"/>
      <w:bookmarkStart w:id="692" w:name="_Toc414557502"/>
      <w:bookmarkStart w:id="693" w:name="_Toc414557895"/>
      <w:bookmarkStart w:id="694" w:name="_Toc414558293"/>
      <w:bookmarkStart w:id="695" w:name="_Toc414558698"/>
      <w:bookmarkStart w:id="696" w:name="_Toc414559502"/>
      <w:bookmarkStart w:id="697" w:name="_Toc414560308"/>
      <w:bookmarkStart w:id="698" w:name="_Toc414560711"/>
      <w:bookmarkStart w:id="699" w:name="_Toc414561116"/>
      <w:bookmarkStart w:id="700" w:name="_Toc414021898"/>
      <w:bookmarkStart w:id="701" w:name="_Toc448741483"/>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t>Válvulas de regulación y seguridad</w:t>
      </w:r>
      <w:bookmarkEnd w:id="700"/>
      <w:bookmarkEnd w:id="701"/>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Las válvulas de regulación y seguridad  deberán cumplir los requisitos establecidos en la Especificación técnica de elementos de maniobra y control. Válvulas de regulación y seguridad de Canal de Isabel II Gestión.</w:t>
      </w:r>
    </w:p>
    <w:p w:rsidR="00C7085E" w:rsidRDefault="00C7085E" w:rsidP="00B71B1A">
      <w:pPr>
        <w:spacing w:before="120" w:after="240" w:line="276" w:lineRule="auto"/>
        <w:ind w:right="-285"/>
      </w:pPr>
      <w:r>
        <w:t xml:space="preserve">La válvula se seleccionará dependiendo de la  función de regulación que realice. </w:t>
      </w:r>
    </w:p>
    <w:p w:rsidR="00C7085E" w:rsidRDefault="00C7085E" w:rsidP="00B71B1A">
      <w:pPr>
        <w:pStyle w:val="Prrafodelista"/>
        <w:keepNext/>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Válvulas de llenado de depósitos</w:t>
      </w:r>
    </w:p>
    <w:p w:rsidR="00C7085E" w:rsidRDefault="00C7085E" w:rsidP="00B71B1A">
      <w:pPr>
        <w:spacing w:before="120" w:after="240" w:line="276" w:lineRule="auto"/>
        <w:ind w:right="-285"/>
        <w:rPr>
          <w:rFonts w:cs="Arial"/>
          <w:lang w:val="es-ES_tradnl"/>
        </w:rPr>
      </w:pPr>
      <w:r>
        <w:rPr>
          <w:rFonts w:cs="Arial"/>
        </w:rPr>
        <w:t>Podrán ser válvulas de acción directa, accionadas por tornillo y pistón, válvulas de base, pilotadas, de membrana o de pistón, accionadas por flotador o válvulas de base, pilotadas de pistón accionadas por piloto de altitud.</w:t>
      </w:r>
    </w:p>
    <w:p w:rsidR="00C7085E" w:rsidRDefault="00C7085E" w:rsidP="00B71B1A">
      <w:pPr>
        <w:pStyle w:val="Prrafodelista"/>
        <w:keepNext/>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Válvulas reductoras de presión</w:t>
      </w:r>
    </w:p>
    <w:p w:rsidR="00C7085E" w:rsidRDefault="00C7085E" w:rsidP="00B71B1A">
      <w:pPr>
        <w:spacing w:before="120" w:after="240" w:line="276" w:lineRule="auto"/>
        <w:ind w:right="-285"/>
        <w:rPr>
          <w:rFonts w:cs="Arial"/>
          <w:lang w:val="es-ES_tradnl"/>
        </w:rPr>
      </w:pPr>
      <w:r>
        <w:rPr>
          <w:rFonts w:cs="Arial"/>
        </w:rPr>
        <w:t>Podrán ser válvulas de acción directa con piloto interno o válvulas de base, pilotadas, de membrana o de pistón.</w:t>
      </w:r>
    </w:p>
    <w:p w:rsidR="00C7085E" w:rsidRDefault="00C7085E" w:rsidP="00B71B1A">
      <w:pPr>
        <w:pStyle w:val="Prrafodelista"/>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Válvulas mantenedoras de presión</w:t>
      </w:r>
    </w:p>
    <w:p w:rsidR="00C7085E" w:rsidRDefault="00C7085E" w:rsidP="00B71B1A">
      <w:pPr>
        <w:spacing w:before="120" w:after="240" w:line="276" w:lineRule="auto"/>
        <w:ind w:right="-285"/>
        <w:rPr>
          <w:rFonts w:cs="Arial"/>
          <w:lang w:val="es-ES_tradnl"/>
        </w:rPr>
      </w:pPr>
      <w:r>
        <w:rPr>
          <w:rFonts w:cs="Arial"/>
        </w:rPr>
        <w:t>Serán válvulas de base, pilotadas, de membrana o de pistón.</w:t>
      </w:r>
    </w:p>
    <w:p w:rsidR="00C7085E" w:rsidRDefault="00C7085E" w:rsidP="00B71B1A">
      <w:pPr>
        <w:pStyle w:val="Prrafodelista"/>
        <w:keepNext/>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Válvulas de control de caudal</w:t>
      </w:r>
    </w:p>
    <w:p w:rsidR="00C7085E" w:rsidRDefault="00C7085E" w:rsidP="00B71B1A">
      <w:pPr>
        <w:spacing w:before="120" w:after="240" w:line="276" w:lineRule="auto"/>
        <w:ind w:right="-285"/>
        <w:rPr>
          <w:rFonts w:cs="Arial"/>
          <w:lang w:val="es-ES_tradnl"/>
        </w:rPr>
      </w:pPr>
      <w:r>
        <w:rPr>
          <w:rFonts w:cs="Arial"/>
        </w:rPr>
        <w:t>El mecanismo de regulación será de embolo o paso anular, de desplazamiento axial, de dispositivo biela-manivela, con accionamiento manual de volante.</w:t>
      </w:r>
    </w:p>
    <w:p w:rsidR="00C7085E" w:rsidRDefault="00C7085E" w:rsidP="00B71B1A">
      <w:pPr>
        <w:spacing w:before="120" w:after="240" w:line="276" w:lineRule="auto"/>
        <w:ind w:right="-285"/>
        <w:rPr>
          <w:rFonts w:cs="Arial"/>
        </w:rPr>
      </w:pPr>
      <w:r>
        <w:rPr>
          <w:rFonts w:cs="Arial"/>
        </w:rPr>
        <w:t>En el caso de las válvulas de seguridad, su función esencial es la de garantizar con su cierre o apertura la detención del flujo del agua en un tramo de la conducción, proteger otras instalaciones, evitar o reducir las consecuencias de una rotura de tubería o impedir la inversión de la dirección del flujo del agua.</w:t>
      </w:r>
    </w:p>
    <w:p w:rsidR="00C7085E" w:rsidRDefault="00C7085E" w:rsidP="00B71B1A">
      <w:pPr>
        <w:spacing w:before="120" w:after="240" w:line="276" w:lineRule="auto"/>
        <w:ind w:right="-285"/>
        <w:rPr>
          <w:rFonts w:cs="Arial"/>
        </w:rPr>
      </w:pPr>
      <w:r>
        <w:rPr>
          <w:rFonts w:cs="Arial"/>
        </w:rPr>
        <w:t>Se consideran las siguientes válvulas de seguridad:</w:t>
      </w:r>
    </w:p>
    <w:p w:rsidR="00C7085E" w:rsidRDefault="00C7085E" w:rsidP="00B71B1A">
      <w:pPr>
        <w:pStyle w:val="Prrafodelista"/>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lastRenderedPageBreak/>
        <w:t>Válvulas de alivio por sobrepresión</w:t>
      </w:r>
    </w:p>
    <w:p w:rsidR="00C7085E" w:rsidRDefault="00C7085E" w:rsidP="00B71B1A">
      <w:pPr>
        <w:spacing w:before="120" w:after="240" w:line="276" w:lineRule="auto"/>
        <w:ind w:right="-285"/>
        <w:rPr>
          <w:rFonts w:cs="Arial"/>
          <w:lang w:val="es-ES_tradnl"/>
        </w:rPr>
      </w:pPr>
      <w:r>
        <w:rPr>
          <w:rFonts w:cs="Arial"/>
        </w:rPr>
        <w:t>Se utilizarán válvulas de base, pilotadas, las cuales podrán ser de membrana o de pistón.</w:t>
      </w:r>
    </w:p>
    <w:p w:rsidR="00C7085E" w:rsidRDefault="00C7085E" w:rsidP="00B71B1A">
      <w:pPr>
        <w:pStyle w:val="Prrafodelista"/>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Válvulas de retención</w:t>
      </w:r>
    </w:p>
    <w:p w:rsidR="00C7085E" w:rsidRDefault="00C7085E" w:rsidP="00B71B1A">
      <w:pPr>
        <w:spacing w:before="120" w:after="240" w:line="276" w:lineRule="auto"/>
        <w:ind w:right="-285"/>
        <w:rPr>
          <w:rFonts w:cs="Arial"/>
          <w:lang w:val="es-ES_tradnl"/>
        </w:rPr>
      </w:pPr>
      <w:r>
        <w:rPr>
          <w:rFonts w:cs="Arial"/>
        </w:rPr>
        <w:t>Las válvulas antirretorno, según sea el obturador o sistema de retención de la válvula podrán ser:</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de bola</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de clapeta simple</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de doble clapeta o de disco partido</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de clapeta de fundición con dispositivo amortiguador</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tipo mariposa, de disco basculante con dispositivo amortiguador</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lang w:val="es-ES_tradnl"/>
        </w:rPr>
      </w:pPr>
      <w:r>
        <w:rPr>
          <w:rFonts w:ascii="Arial" w:hAnsi="Arial" w:cs="Arial"/>
          <w:lang w:val="es-ES_tradnl"/>
        </w:rPr>
        <w:t>de tipo díscolo o émbolo, con eje longitudinal centrado</w:t>
      </w:r>
    </w:p>
    <w:p w:rsidR="00C7085E" w:rsidRDefault="00C7085E" w:rsidP="00B71B1A">
      <w:pPr>
        <w:spacing w:before="120" w:after="240" w:line="276" w:lineRule="auto"/>
        <w:ind w:right="-285"/>
        <w:rPr>
          <w:rFonts w:cs="Arial"/>
          <w:lang w:val="es-ES_tradnl"/>
        </w:rPr>
      </w:pPr>
      <w:r>
        <w:rPr>
          <w:rFonts w:cs="Arial"/>
        </w:rPr>
        <w:t>En agua residual solo se admiten los dos primeros sistemas de retención</w:t>
      </w:r>
    </w:p>
    <w:p w:rsidR="00C7085E" w:rsidRDefault="00C7085E" w:rsidP="00B71B1A">
      <w:pPr>
        <w:pStyle w:val="Prrafodelista"/>
        <w:keepNext/>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Válvula de cierre automático por sobrevelocidad</w:t>
      </w:r>
    </w:p>
    <w:p w:rsidR="00C7085E" w:rsidRDefault="00C7085E" w:rsidP="00B71B1A">
      <w:pPr>
        <w:spacing w:before="120" w:after="240" w:line="276" w:lineRule="auto"/>
        <w:ind w:right="-285"/>
        <w:rPr>
          <w:lang w:val="es-ES_tradnl"/>
        </w:rPr>
      </w:pPr>
      <w:r>
        <w:t>Serán tipo mariposa céntrica, con mecanismo de actuación compuesto por detectores de velocidad mecánicos, contrapeso, acumulador y cilindro hidráulico, válvula piloto, bomba hidráulica manual y dispositivo de rearme.</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keepNext/>
        <w:spacing w:before="120" w:after="240" w:line="276" w:lineRule="auto"/>
        <w:ind w:right="-285"/>
      </w:pPr>
      <w:r>
        <w:t>En el caso de ser necesario la instalación de válvulas reductoras de presión, estás deberán ser colocadas en paralelo, al menos dos unidades, permaneciendo alternativamente en funcionamiento cada una de ellas y manteniendo la otra en reserva.</w:t>
      </w:r>
    </w:p>
    <w:p w:rsidR="00C7085E" w:rsidRDefault="00C7085E" w:rsidP="00B71B1A">
      <w:pPr>
        <w:spacing w:before="120" w:after="240" w:line="276" w:lineRule="auto"/>
        <w:ind w:right="-285"/>
      </w:pPr>
      <w:r>
        <w:t>El diámetro de las válvulas deberá ser inferior al de la conducción.</w:t>
      </w:r>
    </w:p>
    <w:p w:rsidR="00C7085E" w:rsidRDefault="00C7085E" w:rsidP="00B71B1A">
      <w:pPr>
        <w:spacing w:before="120" w:after="240" w:line="276" w:lineRule="auto"/>
        <w:ind w:right="-285"/>
      </w:pPr>
      <w:r>
        <w:t>En los sistemas reguladores de presión, se instalarán dos válvulas de seccionamiento (compuerta o mariposa), una a cada lado de la válvula, junto con los carretes de desmontaje, manómetros de control y filtro aguas arriba de la línea de regulación.</w:t>
      </w:r>
    </w:p>
    <w:p w:rsidR="00C7085E" w:rsidRDefault="00C7085E" w:rsidP="00B71B1A">
      <w:pPr>
        <w:spacing w:before="120" w:after="240" w:line="276" w:lineRule="auto"/>
        <w:ind w:right="-285"/>
      </w:pPr>
      <w:r>
        <w:t>Para la utilización y montaje de estas válvulas será necesario disponer de la aprobación del producto por parte de la Dirección de Obra.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La fabricación, montaje y acabado de todos los elementos componentes de las válvulas deberán estar sujetos a un estricto y documentado proceso de autocontrol de fabricación que garantice la calidad del producto acabado y suministrado.</w:t>
      </w:r>
    </w:p>
    <w:p w:rsidR="00C7085E" w:rsidRDefault="00C7085E" w:rsidP="00B71B1A">
      <w:pPr>
        <w:spacing w:before="120" w:after="240" w:line="276" w:lineRule="auto"/>
        <w:ind w:right="-285"/>
      </w:pPr>
      <w:r>
        <w:t>Será requisito indispensable que el Adjudicatario especifique la marca y modelo y presente la ficha técnica de las válvulas a instalar.</w:t>
      </w:r>
    </w:p>
    <w:p w:rsidR="00C7085E" w:rsidRDefault="00C7085E" w:rsidP="00B71B1A">
      <w:pPr>
        <w:spacing w:before="120" w:after="240" w:line="276" w:lineRule="auto"/>
        <w:ind w:right="-285"/>
      </w:pPr>
      <w:r>
        <w:t xml:space="preserve">En cada caso, la Dirección de Obra valorará la validez y suficiencia de la documentación </w:t>
      </w:r>
      <w:r>
        <w:lastRenderedPageBreak/>
        <w:t>anterior, pudiendo solicitar documentación adicional.</w:t>
      </w:r>
    </w:p>
    <w:p w:rsidR="00C7085E" w:rsidRDefault="00C7085E" w:rsidP="00B71B1A">
      <w:pPr>
        <w:spacing w:before="120" w:after="240" w:line="276" w:lineRule="auto"/>
        <w:ind w:right="-285"/>
      </w:pPr>
      <w:r>
        <w:t>Se ensayarán un diez por ciento (10%) de las válvulas a instalar. En válvulas reguladoras al menos se ensayará una unidad de cada tipo y tamaño.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válvulas de regulación y seguridad se medirán por unidades (ud) realmente colocadas y se abonarán al precio que corresponda, en función tipo de válvula a colocar, del diámetro nominal y de la presión nominal, de los que figuren en el Cuadro de Precios vigente de Canal de Isabel II Gestión.</w:t>
      </w:r>
    </w:p>
    <w:p w:rsidR="00C7085E" w:rsidRDefault="00C7085E" w:rsidP="00B71B1A">
      <w:pPr>
        <w:spacing w:before="120" w:after="240" w:line="276" w:lineRule="auto"/>
        <w:ind w:right="-285"/>
      </w:pPr>
      <w:r>
        <w:t>En el precio se incluye el suministro del equipo, la instalación, incluyendo juntas elastoméricas de estanqueidad y tornillería de acero inoxidable, y cuantos medios materiales, operaciones y pruebas sean necesarias para la correcta ejecución y funcionamiento de la unidad de obra.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702" w:name="_Toc414003346"/>
      <w:bookmarkStart w:id="703" w:name="_Toc414004268"/>
      <w:bookmarkStart w:id="704" w:name="_Toc414019812"/>
      <w:bookmarkStart w:id="705" w:name="_Toc414020229"/>
      <w:bookmarkStart w:id="706" w:name="_Toc414020647"/>
      <w:bookmarkStart w:id="707" w:name="_Toc414021064"/>
      <w:bookmarkStart w:id="708" w:name="_Toc414021481"/>
      <w:bookmarkStart w:id="709" w:name="_Toc414021901"/>
      <w:bookmarkStart w:id="710" w:name="_Toc414210368"/>
      <w:bookmarkStart w:id="711" w:name="_Toc414211144"/>
      <w:bookmarkStart w:id="712" w:name="_Toc414211506"/>
      <w:bookmarkStart w:id="713" w:name="_Toc414535551"/>
      <w:bookmarkStart w:id="714" w:name="_Toc414535986"/>
      <w:bookmarkStart w:id="715" w:name="_Toc414536788"/>
      <w:bookmarkStart w:id="716" w:name="_Toc414556728"/>
      <w:bookmarkStart w:id="717" w:name="_Toc414557117"/>
      <w:bookmarkStart w:id="718" w:name="_Toc414557506"/>
      <w:bookmarkStart w:id="719" w:name="_Toc414557899"/>
      <w:bookmarkStart w:id="720" w:name="_Toc414558297"/>
      <w:bookmarkStart w:id="721" w:name="_Toc414558702"/>
      <w:bookmarkStart w:id="722" w:name="_Toc414559506"/>
      <w:bookmarkStart w:id="723" w:name="_Toc414560312"/>
      <w:bookmarkStart w:id="724" w:name="_Toc414560715"/>
      <w:bookmarkStart w:id="725" w:name="_Toc414561120"/>
      <w:bookmarkStart w:id="726" w:name="_Toc414021902"/>
      <w:bookmarkStart w:id="727" w:name="_Toc448741484"/>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t>Válvulas de aeración</w:t>
      </w:r>
      <w:bookmarkEnd w:id="726"/>
      <w:bookmarkEnd w:id="727"/>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Las válvulas de aeración deberán cumplir los requisitos establecidos en la Especificación técnica de elementos de maniobra y control. Válvulas de aeración de Canal de Isabel II Gestión.</w:t>
      </w:r>
    </w:p>
    <w:p w:rsidR="00C7085E" w:rsidRDefault="00C7085E" w:rsidP="00B71B1A">
      <w:pPr>
        <w:spacing w:before="120" w:after="240" w:line="276" w:lineRule="auto"/>
        <w:ind w:right="-285"/>
      </w:pPr>
      <w:r>
        <w:t>En el caso de su empleo en redes de agua residual serán siempre trifuncionales.</w:t>
      </w:r>
    </w:p>
    <w:p w:rsidR="00C7085E" w:rsidRDefault="00C7085E" w:rsidP="00B71B1A">
      <w:pPr>
        <w:spacing w:before="120" w:after="240" w:line="276" w:lineRule="auto"/>
        <w:ind w:right="-285"/>
      </w:pPr>
      <w:r>
        <w:t>La selección de la válvula de aeración se realizará de forma que la capacidad de la misma responda a las necesidades de evacuación y admisión de aire en la conducción, para garantizar esto el Adjudicatario aportará un estudio completo de la instalación justificando la sección de las válvulas.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Las válvulas de aeración se instalarán en la generatriz superior de la tubería con una válvula de seccionamiento, que permita su reparación o sustitución y la conexión a la conducción se realizará mediante bridas. En los purgadores la unión puede ser roscada.</w:t>
      </w:r>
    </w:p>
    <w:p w:rsidR="00C7085E" w:rsidRDefault="00C7085E" w:rsidP="00B71B1A">
      <w:pPr>
        <w:spacing w:before="120" w:after="240" w:line="276" w:lineRule="auto"/>
        <w:ind w:right="-285"/>
      </w:pPr>
      <w:r>
        <w:t>Para la utilización y montaje de estas válvulas será necesario disponer de la aprobación del producto por parte de la Dirección de Obra.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La fabricación, montaje y acabado de todos los elementos componentes de las válvulas deberán estar sujetos a un estricto y documentado proceso de autocontrol de fabricación que garantice la calidad del producto acabado y suministrado.</w:t>
      </w:r>
    </w:p>
    <w:p w:rsidR="00C7085E" w:rsidRDefault="00C7085E" w:rsidP="00B71B1A">
      <w:pPr>
        <w:spacing w:before="120" w:after="240" w:line="276" w:lineRule="auto"/>
        <w:ind w:right="-285"/>
      </w:pPr>
      <w:r>
        <w:t>Será requisito indispensable que el Adjudicatario especifique la marca y modelo y presente la ficha técnica de las válvulas a instalar.</w:t>
      </w:r>
    </w:p>
    <w:p w:rsidR="00C7085E" w:rsidRDefault="00C7085E" w:rsidP="00B71B1A">
      <w:pPr>
        <w:spacing w:before="120" w:after="240" w:line="276" w:lineRule="auto"/>
        <w:ind w:right="-285"/>
      </w:pPr>
      <w:r>
        <w:lastRenderedPageBreak/>
        <w:t>Se ensayarán un diez por ciento (10%) de las válvulas a instalar.</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válvulas de aireación se medirán por unidades (ud) realmente colocadas y se abonarán al precio que corresponda, en función del tipo de válvula, del diámetro nominal y de la presión nominal, de los que figuren en el Cuadro de Precios vigente de Canal de Isabel II Gestión.</w:t>
      </w:r>
    </w:p>
    <w:p w:rsidR="00C7085E" w:rsidRDefault="00C7085E" w:rsidP="00B71B1A">
      <w:pPr>
        <w:spacing w:before="120" w:after="240" w:line="276" w:lineRule="auto"/>
        <w:ind w:right="-285"/>
      </w:pPr>
      <w:r>
        <w:t>En el precio se incluye la tornillería de acero inoxidable, las juntas elastoméricas de estanqueidad, así como la instalación y las pruebas necesarias para su asegurar su correcto funcionamiento.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728" w:name="_Toc414021906"/>
      <w:bookmarkStart w:id="729" w:name="_Toc448741485"/>
      <w:r>
        <w:t>Filtros</w:t>
      </w:r>
      <w:bookmarkEnd w:id="728"/>
      <w:bookmarkEnd w:id="729"/>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Los filtros podrán ser de los tipos siguientes: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Filtro colador tipo Y</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Filtro colador tipo globo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Filtro colador de paso recto de gran capacidad</w:t>
      </w:r>
    </w:p>
    <w:p w:rsidR="00C7085E" w:rsidRDefault="00C7085E" w:rsidP="00B71B1A">
      <w:pPr>
        <w:spacing w:before="120" w:after="240" w:line="276" w:lineRule="auto"/>
        <w:ind w:right="-285"/>
        <w:rPr>
          <w:rFonts w:cs="Arial"/>
          <w:lang w:val="es-ES_tradnl"/>
        </w:rPr>
      </w:pPr>
      <w:r>
        <w:rPr>
          <w:rFonts w:cs="Arial"/>
        </w:rPr>
        <w:t>En todos los casos la malla de paso será de acero inoxidable.</w:t>
      </w:r>
    </w:p>
    <w:p w:rsidR="00C7085E" w:rsidRDefault="00C7085E" w:rsidP="00B71B1A">
      <w:pPr>
        <w:spacing w:before="120" w:after="240" w:line="276" w:lineRule="auto"/>
        <w:ind w:right="-285"/>
        <w:rPr>
          <w:rFonts w:cs="Arial"/>
        </w:rPr>
      </w:pPr>
      <w:r>
        <w:rPr>
          <w:rFonts w:cs="Arial"/>
        </w:rPr>
        <w:t>Se suministrará una tabla de pérdidas de carga según caudales.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cs="Arial Negrita"/>
        </w:rPr>
      </w:pPr>
      <w:r>
        <w:t>Medición y abono</w:t>
      </w:r>
    </w:p>
    <w:p w:rsidR="00C7085E" w:rsidRDefault="00C7085E" w:rsidP="00B71B1A">
      <w:pPr>
        <w:spacing w:before="120" w:after="240" w:line="276" w:lineRule="auto"/>
        <w:ind w:right="-285"/>
      </w:pPr>
      <w:r>
        <w:t>Los filtros se medirán por unidades (ud) realmente colocadas y se abonarán al precio que corresponda, en función del tipo, del diámetro nominal y de la presión nominal, de los que figuren en el Cuadro de Precios vigente de Canal de Isabel II Gestión.</w:t>
      </w:r>
    </w:p>
    <w:p w:rsidR="00C7085E" w:rsidRDefault="00C7085E" w:rsidP="00B71B1A">
      <w:pPr>
        <w:spacing w:before="120" w:after="240" w:line="276" w:lineRule="auto"/>
        <w:ind w:right="-285"/>
      </w:pPr>
      <w:r>
        <w:t>En el precio se incluye el suministro y la instalación, incluyendo la tornillería de acero inoxidable y las juntas elastoméricas de estanqueidad, así como las pruebas necesarias para su asegurar su correcto funcionamiento.</w:t>
      </w:r>
    </w:p>
    <w:p w:rsidR="00C7085E" w:rsidRPr="00894B2B" w:rsidRDefault="00AA6C96" w:rsidP="00B71B1A">
      <w:pPr>
        <w:pStyle w:val="Ttulo2"/>
        <w:numPr>
          <w:ilvl w:val="1"/>
          <w:numId w:val="5"/>
        </w:numPr>
        <w:snapToGrid/>
        <w:spacing w:before="400" w:after="400" w:line="276" w:lineRule="auto"/>
        <w:ind w:left="0" w:right="-285"/>
        <w:rPr>
          <w:caps w:val="0"/>
        </w:rPr>
      </w:pPr>
      <w:bookmarkStart w:id="730" w:name="_Toc414021907"/>
      <w:bookmarkStart w:id="731" w:name="_Toc448741486"/>
      <w:r w:rsidRPr="00AA6C96">
        <w:rPr>
          <w:caps w:val="0"/>
        </w:rPr>
        <w:t>COMPUERTAS</w:t>
      </w:r>
      <w:bookmarkEnd w:id="730"/>
      <w:bookmarkEnd w:id="731"/>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pPr>
      <w:r>
        <w:t>Las compuertas deberán diseñarse según la norma DIN 9569 y podrán ser de los siguientes tipos: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 xml:space="preserve">Compuerta mural: </w:t>
      </w:r>
      <w:r>
        <w:rPr>
          <w:rFonts w:ascii="Arial" w:hAnsi="Arial" w:cs="Arial"/>
          <w:lang w:val="es-ES_tradnl"/>
        </w:rPr>
        <w:tab/>
      </w:r>
      <w:r>
        <w:rPr>
          <w:rFonts w:ascii="Arial" w:hAnsi="Arial" w:cs="Arial"/>
          <w:lang w:val="es-ES_tradnl"/>
        </w:rPr>
        <w:tab/>
      </w:r>
      <w:r>
        <w:rPr>
          <w:rFonts w:ascii="Arial" w:hAnsi="Arial" w:cs="Arial"/>
          <w:lang w:val="es-ES_tradnl"/>
        </w:rPr>
        <w:tab/>
        <w:t>estanqueidad 4 lados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 xml:space="preserve">Compuerta canal: </w:t>
      </w:r>
      <w:r>
        <w:rPr>
          <w:rFonts w:ascii="Arial" w:hAnsi="Arial" w:cs="Arial"/>
          <w:lang w:val="es-ES_tradnl"/>
        </w:rPr>
        <w:tab/>
      </w:r>
      <w:r>
        <w:rPr>
          <w:rFonts w:ascii="Arial" w:hAnsi="Arial" w:cs="Arial"/>
          <w:lang w:val="es-ES_tradnl"/>
        </w:rPr>
        <w:tab/>
      </w:r>
      <w:r>
        <w:rPr>
          <w:rFonts w:ascii="Arial" w:hAnsi="Arial" w:cs="Arial"/>
          <w:lang w:val="es-ES_tradnl"/>
        </w:rPr>
        <w:tab/>
        <w:t>estanqueidad 3 lados</w:t>
      </w:r>
    </w:p>
    <w:p w:rsidR="00C7085E" w:rsidRDefault="00C7085E" w:rsidP="00B71B1A">
      <w:pPr>
        <w:spacing w:before="120" w:after="240" w:line="276" w:lineRule="auto"/>
        <w:ind w:right="-285"/>
        <w:rPr>
          <w:lang w:val="es-ES_tradnl"/>
        </w:rPr>
      </w:pPr>
      <w:r>
        <w:t xml:space="preserve">El Adjudicatario indicará los materiales constituyentes de la compuerta. </w:t>
      </w:r>
    </w:p>
    <w:p w:rsidR="00C7085E" w:rsidRDefault="00C7085E" w:rsidP="00B71B1A">
      <w:pPr>
        <w:spacing w:before="120" w:after="240" w:line="276" w:lineRule="auto"/>
        <w:ind w:right="-285"/>
      </w:pPr>
      <w:r>
        <w:lastRenderedPageBreak/>
        <w:t>El bastidor, la estructura, refuerzos, tablero y huso serán de AISI 316 L. La tuerca de accionamiento será de bronce CC491K (RG-5). La junta de estanqueidad será de EPDM/NBR.</w:t>
      </w:r>
    </w:p>
    <w:p w:rsidR="00C7085E" w:rsidRDefault="00C7085E" w:rsidP="00B71B1A">
      <w:pPr>
        <w:spacing w:before="120" w:after="240" w:line="276" w:lineRule="auto"/>
        <w:ind w:right="-285"/>
      </w:pPr>
      <w:r>
        <w:t>Los materiales del cierre deberán garantizar la apertura de la compuerta aunque haya estado sometida a largos periodos de cierre.</w:t>
      </w:r>
    </w:p>
    <w:p w:rsidR="00C7085E" w:rsidRDefault="00C7085E" w:rsidP="00B71B1A">
      <w:pPr>
        <w:spacing w:before="120" w:after="240" w:line="276" w:lineRule="auto"/>
        <w:ind w:right="-285"/>
      </w:pPr>
      <w:r>
        <w:t xml:space="preserve">Las compuertas podrán ser de accionamiento manual con volante o reductor, motorizadas con motor eléctrico o con cilindro neumático o hidráulico. </w:t>
      </w:r>
    </w:p>
    <w:p w:rsidR="00C7085E" w:rsidRDefault="00C7085E" w:rsidP="00B71B1A">
      <w:pPr>
        <w:spacing w:before="120" w:after="240" w:line="276" w:lineRule="auto"/>
        <w:ind w:right="-285"/>
      </w:pPr>
      <w:r>
        <w:t>El mecanismo de elevación estará formado por un juego de engranajes cónicos encerrados en un cárter.</w:t>
      </w:r>
    </w:p>
    <w:p w:rsidR="00C7085E" w:rsidRDefault="00C7085E" w:rsidP="00B71B1A">
      <w:pPr>
        <w:spacing w:before="120" w:after="240" w:line="276" w:lineRule="auto"/>
        <w:ind w:right="-285"/>
      </w:pPr>
      <w:r>
        <w:t>El accionamiento manual se llevará a cabo por medio de un volante fijo sujeto a una columna de maniobra situado en la parte superior del canal, que será de fundición nodular.</w:t>
      </w:r>
    </w:p>
    <w:p w:rsidR="00C7085E" w:rsidRDefault="00C7085E" w:rsidP="00B71B1A">
      <w:pPr>
        <w:spacing w:before="120" w:after="240" w:line="276" w:lineRule="auto"/>
        <w:ind w:right="-285"/>
      </w:pPr>
      <w:r>
        <w:t>En el caso que el accionamiento de las compuertas sea automático, llevarán los equipos necesarios para poder ser accionadas manualmente en caso de emergencia.</w:t>
      </w:r>
    </w:p>
    <w:p w:rsidR="00C7085E" w:rsidRDefault="00C7085E" w:rsidP="00B71B1A">
      <w:pPr>
        <w:spacing w:before="120" w:after="240" w:line="276" w:lineRule="auto"/>
        <w:ind w:right="-285"/>
      </w:pPr>
      <w:r>
        <w:t>Los actuadores tendrán características similares a los de las válvulas de mariposa.</w:t>
      </w:r>
    </w:p>
    <w:p w:rsidR="00C7085E" w:rsidRDefault="00C7085E" w:rsidP="00B71B1A">
      <w:pPr>
        <w:spacing w:before="120" w:after="240" w:line="276" w:lineRule="auto"/>
        <w:ind w:right="-285"/>
      </w:pPr>
      <w:r>
        <w:t>En caso de funcionamiento bidireccional los cierres garantizaran la estanqueidad en ambos sentidos.</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keepNext/>
        <w:spacing w:before="120" w:after="240" w:line="276" w:lineRule="auto"/>
        <w:ind w:right="-285"/>
      </w:pPr>
      <w:r>
        <w:t>El Adjudicatario presentará a la Dirección de Obra el Plan de Control de Calidad correspondiente a todos y cada uno de los trabajos que son necesarios para la recepción en obra y el montaje de las compuertas.</w:t>
      </w:r>
    </w:p>
    <w:p w:rsidR="00C7085E" w:rsidRDefault="00C7085E" w:rsidP="00B71B1A">
      <w:pPr>
        <w:spacing w:before="120" w:after="240" w:line="276" w:lineRule="auto"/>
        <w:ind w:right="-285"/>
        <w:rPr>
          <w:rFonts w:cs="Arial"/>
        </w:rPr>
      </w:pPr>
      <w:r>
        <w:rPr>
          <w:rFonts w:cs="Arial"/>
        </w:rPr>
        <w:t>Los puntos de control que, como mínimo, se establecerán serán los siguientes: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Identificación de todos los materiales con los certificados del fabricante, incluyendo la inspección visual y dimensional de cada uno de ellos.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Certificado de protocolo pruebas motor.</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 xml:space="preserve">Certificado de protocolo pruebas reductor. </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Certificados proceso tratamiento superficies y pintado.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Certificado garantía proveedor.</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Comprobación de la documentación final que deberá ser enviada antes de la entrega del equipo.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Homologación de procedimiento de soldadura y soldadores antes del comienzo de la fabricación.</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Comprobación fijación, linealidad y limpieza cojinetes intermedios.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Comprobación del conexionado eléctrico, hidráulico o neumático, a la presión de servicio, y estanqueidad caja conexiones.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Comprobación de engrases.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Comprobación de abertura, cierre e indicador de posición o regulador.</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Comprobación del ajuste del par de cierre y paro de seguridad.</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lastRenderedPageBreak/>
        <w:t>Comprobación de la estanqueidad.</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Inspección de limpieza, pintura y adherencia de la capa final.</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Medición y abono</w:t>
      </w:r>
    </w:p>
    <w:p w:rsidR="00C7085E" w:rsidRDefault="00C7085E" w:rsidP="00B71B1A">
      <w:pPr>
        <w:spacing w:before="120" w:after="240" w:line="276" w:lineRule="auto"/>
        <w:ind w:right="-285"/>
      </w:pPr>
      <w:r>
        <w:t>Las compuertas se medirán por unidades (ud) montadas en obra y se abonarán mediante la aplicación del precio unitario correspondiente del Cuadro de Precios vigente de Canal de Isabel II Gestión.</w:t>
      </w:r>
    </w:p>
    <w:p w:rsidR="00C7085E" w:rsidRDefault="00C7085E" w:rsidP="00B71B1A">
      <w:pPr>
        <w:spacing w:before="120" w:after="240" w:line="276" w:lineRule="auto"/>
        <w:ind w:right="-285"/>
      </w:pPr>
      <w:r>
        <w:t>En el precio se incluye el suministro, colocación y recibido de las compuertas, así como las pruebas necesarias para garantizar su correcto funcionamiento.</w:t>
      </w:r>
    </w:p>
    <w:p w:rsidR="00C7085E" w:rsidRPr="00894B2B" w:rsidRDefault="00AA6C96" w:rsidP="00B71B1A">
      <w:pPr>
        <w:pStyle w:val="Ttulo2"/>
        <w:numPr>
          <w:ilvl w:val="1"/>
          <w:numId w:val="5"/>
        </w:numPr>
        <w:snapToGrid/>
        <w:spacing w:before="400" w:after="400" w:line="276" w:lineRule="auto"/>
        <w:ind w:left="0" w:right="-285"/>
        <w:rPr>
          <w:caps w:val="0"/>
        </w:rPr>
      </w:pPr>
      <w:bookmarkStart w:id="732" w:name="_Toc414021908"/>
      <w:bookmarkStart w:id="733" w:name="_Toc448741487"/>
      <w:r w:rsidRPr="00AA6C96">
        <w:rPr>
          <w:caps w:val="0"/>
        </w:rPr>
        <w:t>EQUIPOS DE BOMBEO</w:t>
      </w:r>
      <w:bookmarkEnd w:id="732"/>
      <w:bookmarkEnd w:id="733"/>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Generalidades</w:t>
      </w:r>
    </w:p>
    <w:p w:rsidR="00C7085E" w:rsidRDefault="00C7085E" w:rsidP="00B71B1A">
      <w:pPr>
        <w:keepNext/>
        <w:spacing w:before="120" w:after="240" w:line="276" w:lineRule="auto"/>
        <w:ind w:right="-285"/>
      </w:pPr>
      <w:r>
        <w:t>Las bombas a instalar deberán ser conformes a lo especificado en las siguientes normas:</w:t>
      </w:r>
    </w:p>
    <w:tbl>
      <w:tblPr>
        <w:tblStyle w:val="Tablaconcuadrcul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67"/>
      </w:tblGrid>
      <w:tr w:rsidR="00C7085E" w:rsidTr="00C7085E">
        <w:tc>
          <w:tcPr>
            <w:tcW w:w="2268" w:type="dxa"/>
            <w:hideMark/>
          </w:tcPr>
          <w:p w:rsidR="00C7085E" w:rsidRDefault="00C7085E" w:rsidP="00B71B1A">
            <w:pPr>
              <w:keepNext/>
              <w:keepLines/>
              <w:spacing w:before="120" w:after="240" w:line="276" w:lineRule="auto"/>
              <w:ind w:right="-285"/>
              <w:rPr>
                <w:rFonts w:cs="Arial"/>
                <w:szCs w:val="22"/>
              </w:rPr>
            </w:pPr>
            <w:r>
              <w:rPr>
                <w:rFonts w:cs="Arial"/>
                <w:szCs w:val="22"/>
              </w:rPr>
              <w:t>UNE-EN      809:</w:t>
            </w:r>
          </w:p>
        </w:tc>
        <w:tc>
          <w:tcPr>
            <w:tcW w:w="6267" w:type="dxa"/>
            <w:hideMark/>
          </w:tcPr>
          <w:p w:rsidR="00C7085E" w:rsidRDefault="00C7085E" w:rsidP="00B71B1A">
            <w:pPr>
              <w:keepNext/>
              <w:keepLines/>
              <w:spacing w:before="120" w:after="240" w:line="276" w:lineRule="auto"/>
              <w:ind w:right="-285"/>
              <w:rPr>
                <w:rFonts w:cs="Arial"/>
                <w:szCs w:val="22"/>
              </w:rPr>
            </w:pPr>
            <w:r>
              <w:rPr>
                <w:rFonts w:cs="Arial"/>
                <w:szCs w:val="22"/>
              </w:rPr>
              <w:t>“Bombas y grupos motobombas para líquidos. Requisitos comunes de seguridad”.</w:t>
            </w:r>
          </w:p>
        </w:tc>
      </w:tr>
      <w:tr w:rsidR="00C7085E" w:rsidTr="00C7085E">
        <w:tc>
          <w:tcPr>
            <w:tcW w:w="2268" w:type="dxa"/>
            <w:hideMark/>
          </w:tcPr>
          <w:p w:rsidR="00C7085E" w:rsidRDefault="00C7085E" w:rsidP="00B71B1A">
            <w:pPr>
              <w:spacing w:before="120" w:after="240" w:line="276" w:lineRule="auto"/>
              <w:ind w:right="-285"/>
            </w:pPr>
            <w:r>
              <w:rPr>
                <w:rFonts w:cs="Arial"/>
                <w:szCs w:val="22"/>
              </w:rPr>
              <w:t>UNE-EN  60034:</w:t>
            </w:r>
          </w:p>
        </w:tc>
        <w:tc>
          <w:tcPr>
            <w:tcW w:w="6267" w:type="dxa"/>
            <w:hideMark/>
          </w:tcPr>
          <w:p w:rsidR="00C7085E" w:rsidRDefault="00C7085E" w:rsidP="00B71B1A">
            <w:pPr>
              <w:spacing w:before="120" w:after="240" w:line="276" w:lineRule="auto"/>
              <w:ind w:right="-285"/>
              <w:rPr>
                <w:i/>
              </w:rPr>
            </w:pPr>
            <w:r>
              <w:rPr>
                <w:i/>
              </w:rPr>
              <w:t>“Máquinas eléctricas rotativas. Parte 1: Características asignadas y características de funcionamiento”</w:t>
            </w:r>
            <w:proofErr w:type="gramStart"/>
            <w:r>
              <w:rPr>
                <w:i/>
              </w:rPr>
              <w:t>..</w:t>
            </w:r>
            <w:proofErr w:type="gramEnd"/>
          </w:p>
        </w:tc>
      </w:tr>
      <w:tr w:rsidR="00C7085E" w:rsidTr="00C7085E">
        <w:tc>
          <w:tcPr>
            <w:tcW w:w="2268" w:type="dxa"/>
            <w:hideMark/>
          </w:tcPr>
          <w:p w:rsidR="00C7085E" w:rsidRDefault="00C7085E" w:rsidP="00B71B1A">
            <w:pPr>
              <w:spacing w:before="120" w:after="240" w:line="276" w:lineRule="auto"/>
              <w:ind w:right="-285"/>
            </w:pPr>
            <w:r>
              <w:rPr>
                <w:rFonts w:cs="Arial"/>
                <w:szCs w:val="22"/>
              </w:rPr>
              <w:t>UNE-EN  61000:</w:t>
            </w:r>
          </w:p>
        </w:tc>
        <w:tc>
          <w:tcPr>
            <w:tcW w:w="6267" w:type="dxa"/>
            <w:hideMark/>
          </w:tcPr>
          <w:p w:rsidR="00C7085E" w:rsidRDefault="00C7085E" w:rsidP="00B71B1A">
            <w:pPr>
              <w:spacing w:before="120" w:after="240" w:line="276" w:lineRule="auto"/>
              <w:ind w:right="-285"/>
              <w:rPr>
                <w:i/>
              </w:rPr>
            </w:pPr>
            <w:r>
              <w:rPr>
                <w:i/>
              </w:rPr>
              <w:t>“Compatibilidad electromagnética (CEM). Parte 6-1: Normas genéricas. Inmunidad en entornos residenciales, comerciales y de industria ligera. (IEC 61000-6-1:2005)”.</w:t>
            </w:r>
          </w:p>
        </w:tc>
      </w:tr>
      <w:tr w:rsidR="00C7085E" w:rsidTr="00C7085E">
        <w:tc>
          <w:tcPr>
            <w:tcW w:w="2268" w:type="dxa"/>
            <w:hideMark/>
          </w:tcPr>
          <w:p w:rsidR="00C7085E" w:rsidRDefault="00C7085E" w:rsidP="00B71B1A">
            <w:pPr>
              <w:spacing w:before="120" w:after="240" w:line="276" w:lineRule="auto"/>
              <w:ind w:right="-285"/>
              <w:rPr>
                <w:rFonts w:cs="Arial"/>
                <w:szCs w:val="22"/>
              </w:rPr>
            </w:pPr>
            <w:r>
              <w:rPr>
                <w:rFonts w:cs="Arial"/>
                <w:szCs w:val="22"/>
              </w:rPr>
              <w:t>UNE-EN ISO 12100:</w:t>
            </w:r>
          </w:p>
        </w:tc>
        <w:tc>
          <w:tcPr>
            <w:tcW w:w="6267" w:type="dxa"/>
          </w:tcPr>
          <w:p w:rsidR="00C7085E" w:rsidRDefault="00C7085E" w:rsidP="00B71B1A">
            <w:pPr>
              <w:spacing w:before="120" w:after="240" w:line="276" w:lineRule="auto"/>
              <w:ind w:right="-285"/>
              <w:rPr>
                <w:rFonts w:cs="Arial"/>
                <w:szCs w:val="22"/>
              </w:rPr>
            </w:pPr>
            <w:r>
              <w:rPr>
                <w:rFonts w:cs="Arial"/>
                <w:szCs w:val="22"/>
              </w:rPr>
              <w:t>“Seguridad de las máquinas. Principios generales para el diseño. Evaluación del riesgo y reducción del riesgo”.</w:t>
            </w:r>
          </w:p>
          <w:p w:rsidR="00C7085E" w:rsidRDefault="00C7085E" w:rsidP="00B71B1A">
            <w:pPr>
              <w:spacing w:before="120" w:after="240" w:line="276" w:lineRule="auto"/>
              <w:ind w:right="-285"/>
              <w:rPr>
                <w:rFonts w:cs="Arial"/>
                <w:szCs w:val="22"/>
              </w:rPr>
            </w:pPr>
          </w:p>
        </w:tc>
      </w:tr>
      <w:tr w:rsidR="00C7085E" w:rsidTr="00C7085E">
        <w:tc>
          <w:tcPr>
            <w:tcW w:w="2268" w:type="dxa"/>
            <w:hideMark/>
          </w:tcPr>
          <w:p w:rsidR="00C7085E" w:rsidRDefault="00C7085E" w:rsidP="00B71B1A">
            <w:pPr>
              <w:spacing w:before="120" w:after="240" w:line="276" w:lineRule="auto"/>
              <w:ind w:right="-285"/>
              <w:rPr>
                <w:rFonts w:cs="Arial"/>
                <w:szCs w:val="22"/>
              </w:rPr>
            </w:pPr>
            <w:r>
              <w:rPr>
                <w:rFonts w:cs="Arial"/>
                <w:szCs w:val="22"/>
              </w:rPr>
              <w:t>EN ISO 9906:2012</w:t>
            </w:r>
          </w:p>
        </w:tc>
        <w:tc>
          <w:tcPr>
            <w:tcW w:w="6267" w:type="dxa"/>
            <w:hideMark/>
          </w:tcPr>
          <w:p w:rsidR="00C7085E" w:rsidRDefault="00C7085E" w:rsidP="00B71B1A">
            <w:pPr>
              <w:spacing w:before="120" w:after="240" w:line="276" w:lineRule="auto"/>
              <w:ind w:right="-285"/>
              <w:rPr>
                <w:rFonts w:cs="Arial"/>
                <w:i/>
                <w:szCs w:val="22"/>
              </w:rPr>
            </w:pPr>
            <w:r>
              <w:rPr>
                <w:rFonts w:cs="Arial"/>
                <w:i/>
                <w:szCs w:val="22"/>
              </w:rPr>
              <w:t>“Bombas rotodinámicas. Ensayos de rendimiento hidráulico de aceptación. Niveles 1, 2 y 3.”</w:t>
            </w:r>
          </w:p>
        </w:tc>
      </w:tr>
      <w:tr w:rsidR="00C7085E" w:rsidTr="00C7085E">
        <w:tc>
          <w:tcPr>
            <w:tcW w:w="2268" w:type="dxa"/>
            <w:hideMark/>
          </w:tcPr>
          <w:p w:rsidR="00C7085E" w:rsidRDefault="00C7085E" w:rsidP="00B71B1A">
            <w:pPr>
              <w:spacing w:before="120" w:after="240" w:line="276" w:lineRule="auto"/>
              <w:ind w:right="-285"/>
              <w:rPr>
                <w:rFonts w:cs="Arial"/>
                <w:szCs w:val="22"/>
              </w:rPr>
            </w:pPr>
            <w:r>
              <w:t>Directiva 2009/125/EC</w:t>
            </w:r>
          </w:p>
        </w:tc>
        <w:tc>
          <w:tcPr>
            <w:tcW w:w="6267" w:type="dxa"/>
            <w:hideMark/>
          </w:tcPr>
          <w:p w:rsidR="00C7085E" w:rsidRDefault="00C7085E" w:rsidP="00B71B1A">
            <w:pPr>
              <w:spacing w:before="120" w:after="240" w:line="276" w:lineRule="auto"/>
              <w:ind w:right="-285"/>
              <w:rPr>
                <w:rFonts w:cs="Arial"/>
                <w:szCs w:val="22"/>
              </w:rPr>
            </w:pPr>
            <w:r>
              <w:rPr>
                <w:rFonts w:cs="Arial"/>
                <w:szCs w:val="22"/>
              </w:rPr>
              <w:t>Recoge referencias al Índice de Eficiencia Mínima (MEI)</w:t>
            </w:r>
          </w:p>
        </w:tc>
      </w:tr>
      <w:tr w:rsidR="00C7085E" w:rsidTr="00C7085E">
        <w:tc>
          <w:tcPr>
            <w:tcW w:w="2268" w:type="dxa"/>
          </w:tcPr>
          <w:p w:rsidR="00C7085E" w:rsidRDefault="00C7085E" w:rsidP="00B71B1A">
            <w:pPr>
              <w:spacing w:before="120" w:after="240" w:line="276" w:lineRule="auto"/>
              <w:ind w:right="-285"/>
              <w:rPr>
                <w:rFonts w:cs="Arial"/>
                <w:szCs w:val="22"/>
              </w:rPr>
            </w:pPr>
          </w:p>
        </w:tc>
        <w:tc>
          <w:tcPr>
            <w:tcW w:w="6267" w:type="dxa"/>
          </w:tcPr>
          <w:p w:rsidR="00C7085E" w:rsidRDefault="00C7085E" w:rsidP="00B71B1A">
            <w:pPr>
              <w:spacing w:before="120" w:after="240" w:line="276" w:lineRule="auto"/>
              <w:ind w:right="-285"/>
              <w:rPr>
                <w:rFonts w:cs="Arial"/>
                <w:szCs w:val="22"/>
              </w:rPr>
            </w:pPr>
          </w:p>
        </w:tc>
      </w:tr>
    </w:tbl>
    <w:p w:rsidR="00C7085E" w:rsidRDefault="00C7085E" w:rsidP="00B71B1A">
      <w:pPr>
        <w:spacing w:before="120" w:after="240" w:line="276" w:lineRule="auto"/>
        <w:ind w:right="-285"/>
        <w:rPr>
          <w:lang w:val="es-ES_tradnl" w:eastAsia="es-ES_tradnl"/>
        </w:rPr>
      </w:pPr>
      <w:r>
        <w:t>Además deberán cumplir con la normativa de seguridad vigente en España para aparatos instalados en locales húmedos y o mojados, así como las siguientes Directivas Europeas y sus modificaciones posteriores.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2006/42/CE (Máquinas)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lastRenderedPageBreak/>
        <w:t>2004/108/CE (Compatibilidad electromagnética)</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2006/95/CE (Baja Tensión)</w:t>
      </w:r>
    </w:p>
    <w:p w:rsidR="00C7085E" w:rsidRDefault="00C7085E" w:rsidP="00B71B1A">
      <w:pPr>
        <w:spacing w:before="120" w:after="240" w:line="276" w:lineRule="auto"/>
        <w:ind w:right="-285"/>
      </w:pPr>
      <w:r>
        <w:t>En las instalaciones de bombeo en las que el servicio requiera una sola bomba, se colocará otra de reserva, que entrará automáticamente en marcha en caso de avería de la primera. Si el servicio requiere del funcionamiento de varias bombas en paralelo, la reserva quedará limitada al cincuenta por ciento (50%) y como mínimo alcanzará una unidad.</w:t>
      </w:r>
    </w:p>
    <w:p w:rsidR="00C7085E" w:rsidRDefault="00C7085E" w:rsidP="00B71B1A">
      <w:pPr>
        <w:spacing w:before="120" w:after="240" w:line="276" w:lineRule="auto"/>
        <w:ind w:right="-285"/>
      </w:pPr>
      <w:r>
        <w:t>En el caso de disponer varias bombas, se preferirá que sean todas iguales, tanto para las bombas en funcionamiento como para las de reserva y deberá existir una distancia libre mínima de un metro en todo el perímetro de cada equipo.</w:t>
      </w:r>
    </w:p>
    <w:p w:rsidR="00C7085E" w:rsidRDefault="00C7085E" w:rsidP="00B71B1A">
      <w:pPr>
        <w:spacing w:before="120" w:after="240" w:line="276" w:lineRule="auto"/>
        <w:ind w:right="-285"/>
      </w:pPr>
      <w:r>
        <w:t>Las bombas cuyo caudal haya de ser variable en función de alguna medida de control, conseguirán la verificación mediante cambios continuos de su velocidad por variadores eléctricos de frecuencia.</w:t>
      </w:r>
    </w:p>
    <w:p w:rsidR="00C7085E" w:rsidRDefault="00C7085E" w:rsidP="00B71B1A">
      <w:pPr>
        <w:spacing w:before="120" w:after="240" w:line="276" w:lineRule="auto"/>
        <w:ind w:right="-285"/>
        <w:rPr>
          <w:i/>
        </w:rPr>
      </w:pPr>
      <w:r>
        <w:t>Los motores de las bombas deberán ser de la clase de eficiencia energética IE3, de acuerdo con la UNE-EN 60034-30: “</w:t>
      </w:r>
      <w:r>
        <w:rPr>
          <w:i/>
        </w:rPr>
        <w:t xml:space="preserve">Máquinas eléctricas rotativas. Parte 30: Clases de rendimiento para los motores trifásicos de inducción de jaula de velocidad única (código IE)”. </w:t>
      </w:r>
      <w:r>
        <w:t>El motor será capaz de aportar la potencia máxima demandada por la bomba en toda su curva.</w:t>
      </w:r>
    </w:p>
    <w:p w:rsidR="00C7085E" w:rsidRDefault="00C7085E" w:rsidP="00B71B1A">
      <w:pPr>
        <w:spacing w:before="120" w:after="240" w:line="276" w:lineRule="auto"/>
        <w:ind w:right="-285"/>
      </w:pPr>
      <w:r>
        <w:t>La protección del motor de la bomba será, al menos, del grado IP55 (IP 68 para bombas sumergidas) y el aislamiento mínimo de la clase F. En cualquier caso, el cableado de las bombas contará con las protecciones necesarias y se dispondrá alojado en el interior de un tubo cuando atraviese los muros de una estructura.</w:t>
      </w:r>
    </w:p>
    <w:p w:rsidR="00C7085E" w:rsidRDefault="00C7085E" w:rsidP="00B71B1A">
      <w:pPr>
        <w:spacing w:before="120" w:after="240" w:line="276" w:lineRule="auto"/>
        <w:ind w:right="-285"/>
      </w:pPr>
      <w:r>
        <w:t>Las bombas estarán unidas mediante bridas al tubo de impulsión y en su caso, al de aspiración.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Materiales </w:t>
      </w:r>
    </w:p>
    <w:p w:rsidR="00C7085E" w:rsidRDefault="00C7085E" w:rsidP="00B71B1A">
      <w:pPr>
        <w:spacing w:before="120" w:after="240" w:line="276" w:lineRule="auto"/>
        <w:ind w:right="-285"/>
      </w:pPr>
      <w:r>
        <w:t>Las bombas estarán fabricadas en fundición dúctil, a excepción del eje del rodete y la tornillería que serán de acero inoxidable. Se deberá aprobar por la Dirección de Obra los materiales del pedestal o la base soporte.</w:t>
      </w:r>
    </w:p>
    <w:p w:rsidR="00C7085E" w:rsidRDefault="00C7085E" w:rsidP="00B71B1A">
      <w:pPr>
        <w:spacing w:before="120" w:after="240" w:line="276" w:lineRule="auto"/>
        <w:ind w:right="-285"/>
      </w:pPr>
      <w:r>
        <w:t>De aquellas piezas de la bomba cuya duración normal asegurada por el fabricante sea un dato fundamental en el proceso de selección, el Adjudicatario presentará certificado de duración garantizada.</w:t>
      </w:r>
    </w:p>
    <w:p w:rsidR="00C7085E" w:rsidRDefault="00C7085E" w:rsidP="00B71B1A">
      <w:pPr>
        <w:spacing w:before="120" w:after="240" w:line="276" w:lineRule="auto"/>
        <w:ind w:right="-285"/>
      </w:pPr>
      <w:r>
        <w:t>Las bombas a emplear podrán ser centrífugas o axiales e instalarse en posición horizontal y excepcionalmente en vertical. A su vez, podrán ser sumergibles o no. Se estudiará en cada caso el tipo de bombas a instalar independientemente del servicio.</w:t>
      </w:r>
    </w:p>
    <w:p w:rsidR="00C7085E" w:rsidRDefault="00C7085E" w:rsidP="00B71B1A">
      <w:pPr>
        <w:spacing w:before="120" w:after="240" w:line="276" w:lineRule="auto"/>
        <w:ind w:right="-285"/>
      </w:pPr>
      <w:r>
        <w:t>Las bombas sumergibles deberán instalarse acopladas a un pedestal y deberán ir siempre dispuestas con un tubo guía y una cadena para facilitar las operaciones de montaje y desmontaje de las mismas.</w:t>
      </w:r>
    </w:p>
    <w:p w:rsidR="00C7085E" w:rsidRDefault="00C7085E" w:rsidP="00B71B1A">
      <w:pPr>
        <w:spacing w:before="120" w:after="240" w:line="276" w:lineRule="auto"/>
        <w:ind w:right="-285"/>
      </w:pPr>
      <w:r>
        <w:t>Las bombas instaladas en seco se montarán sobre una base soporte.</w:t>
      </w:r>
    </w:p>
    <w:p w:rsidR="00C7085E" w:rsidRDefault="00C7085E" w:rsidP="00B71B1A">
      <w:pPr>
        <w:spacing w:before="120" w:after="240" w:line="276" w:lineRule="auto"/>
        <w:ind w:right="-285"/>
      </w:pPr>
      <w:r>
        <w:lastRenderedPageBreak/>
        <w:t>En cualquier caso, los equipos de bombeo nunca se instalarán anclados directamente a la solera de apoyo, siempre dispondrán de fijaciones desmontables.</w:t>
      </w:r>
    </w:p>
    <w:p w:rsidR="00C7085E" w:rsidRDefault="00C7085E" w:rsidP="00B71B1A">
      <w:pPr>
        <w:spacing w:before="120" w:after="240" w:line="276" w:lineRule="auto"/>
        <w:ind w:right="-285"/>
      </w:pPr>
      <w:r>
        <w:t>Todas las bombas centrífugas se instalarán con la aspiración bajo la carga hidrostática adecuada, a fin de evitar el descebado y las vibraciones. Su funcionamiento será preferentemente a 900 rpm, no siendo superior a las 1.500 rpm en régimen normal de funcionamiento, salvo justificación técnica.</w:t>
      </w:r>
    </w:p>
    <w:p w:rsidR="00C7085E" w:rsidRDefault="00C7085E" w:rsidP="00B71B1A">
      <w:pPr>
        <w:spacing w:before="120" w:after="240" w:line="276" w:lineRule="auto"/>
        <w:ind w:right="-285"/>
      </w:pPr>
      <w:r>
        <w:t>En el tramo anterior a cada bomba se instalará una válvula de seccionamiento y, en el tramo posterior, una válvula de seccionamiento y otra de retención. Adicionalmente se colocarán los presostatos o transductores de presión necesarios para el control de la misma.</w:t>
      </w:r>
    </w:p>
    <w:p w:rsidR="00C7085E" w:rsidRDefault="00C7085E" w:rsidP="00B71B1A">
      <w:pPr>
        <w:spacing w:before="120" w:after="240" w:line="276" w:lineRule="auto"/>
        <w:ind w:right="-285"/>
      </w:pPr>
      <w:r>
        <w:t>Los colectores de aspiración e impulsión deberán ser de acero galvanizado en caliente o de acero inoxidable y deberán disponerse con las bridas, carretes de desmontaje y elementos de unión necesarios para que puedan desmontarse en su totalidad.</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El Adjudicatario deberá facilitar a la Dirección de Obra la documentación técnica de todas las bombas a instalar, en la que se incluirá, como mínimo, los materiales de las parte principales, las curvas características caudal-altura, rendimiento y potencia, el NPSH requerido, la tensión, la intensidad, la potencia y la velocidad de funcionamiento de la bomba, así como el modelo y fabricante de la misma. No obstante, para cada caso particular, la Dirección de Obra podrá solicitar al Adjudicatario la realización de las pruebas adicionales que considere necesarias para garantizar el buen funcionamiento de la instalación.</w:t>
      </w:r>
    </w:p>
    <w:p w:rsidR="00C7085E" w:rsidRDefault="00C7085E" w:rsidP="00B71B1A">
      <w:pPr>
        <w:spacing w:before="120" w:after="240" w:line="276" w:lineRule="auto"/>
        <w:ind w:right="-285"/>
      </w:pPr>
      <w:r>
        <w:t>Previo a la realización del control de calidad la Dirección de Obra aprobará tanto la norma que regirá las pruebas como las condiciones de aceptación de los equipos</w:t>
      </w:r>
    </w:p>
    <w:p w:rsidR="00C7085E" w:rsidRDefault="00C7085E" w:rsidP="00B71B1A">
      <w:pPr>
        <w:spacing w:before="120" w:after="240" w:line="276" w:lineRule="auto"/>
        <w:ind w:right="-285"/>
      </w:pPr>
      <w:r>
        <w:t>Los ensayos mínimos a efectuar en taller serán los siguientes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Curva de Altura-Caudales o Revolución-Caudal, dependiendo del tipo de bomba a ensayar.</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Para el punto de funcionamiento y altura manométrica nominales: caudal, revolución, potencia en el eje, rendimiento de la bomba y del motor y temperatura.</w:t>
      </w:r>
    </w:p>
    <w:p w:rsidR="00C7085E" w:rsidRDefault="00C7085E" w:rsidP="00B71B1A">
      <w:pPr>
        <w:spacing w:before="120" w:after="240" w:line="276" w:lineRule="auto"/>
        <w:ind w:right="-285"/>
        <w:rPr>
          <w:rFonts w:cs="Arial"/>
        </w:rPr>
      </w:pPr>
      <w:r>
        <w:rPr>
          <w:rFonts w:cs="Arial"/>
        </w:rPr>
        <w:t>Durante el montaje de las bombas se realizarán los siguientes controles: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Alineaciones de las tuberías de aspiración e impulsión</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Comprobación del anclaje de la bomba a la bancada</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Acoplamientos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Revisión del acabado final</w:t>
      </w:r>
    </w:p>
    <w:p w:rsidR="00C7085E" w:rsidRDefault="00C7085E" w:rsidP="00B71B1A">
      <w:pPr>
        <w:spacing w:before="120" w:after="240" w:line="276" w:lineRule="auto"/>
        <w:ind w:right="-285"/>
      </w:pPr>
      <w:r>
        <w:t>Las pruebas de funcionamiento a realizar serán:</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Comprobación del sentido de giro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Caudales y presiones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lastRenderedPageBreak/>
        <w:t>Revoluciones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Consumos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Medición y abono</w:t>
      </w:r>
    </w:p>
    <w:p w:rsidR="00C7085E" w:rsidRDefault="00C7085E" w:rsidP="00B71B1A">
      <w:pPr>
        <w:spacing w:before="120" w:after="240" w:line="276" w:lineRule="auto"/>
        <w:ind w:right="-285"/>
      </w:pPr>
      <w:r>
        <w:t>Las bombas a instalar se medirán por unidades (ud) montadas en obra y se abonarán mediante la aplicación del precio unitario correspondiente del Cuadro de Precios vigente de Canal de Isabel II Gestión y que se refiere siempre a la unidad colocada, probada y en perfectas condiciones de funcionamiento.</w:t>
      </w:r>
    </w:p>
    <w:p w:rsidR="00C7085E" w:rsidRPr="00894B2B" w:rsidRDefault="00AA6C96" w:rsidP="00B71B1A">
      <w:pPr>
        <w:pStyle w:val="Ttulo2"/>
        <w:numPr>
          <w:ilvl w:val="1"/>
          <w:numId w:val="5"/>
        </w:numPr>
        <w:snapToGrid/>
        <w:spacing w:before="400" w:after="400" w:line="276" w:lineRule="auto"/>
        <w:ind w:left="0" w:right="-285"/>
        <w:rPr>
          <w:caps w:val="0"/>
        </w:rPr>
      </w:pPr>
      <w:bookmarkStart w:id="734" w:name="_Toc448741488"/>
      <w:r w:rsidRPr="00AA6C96">
        <w:rPr>
          <w:caps w:val="0"/>
        </w:rPr>
        <w:t xml:space="preserve">VENTILADORES, SOPLANTES Y </w:t>
      </w:r>
      <w:bookmarkStart w:id="735" w:name="_Toc414003532"/>
      <w:bookmarkStart w:id="736" w:name="_Toc414004458"/>
      <w:bookmarkStart w:id="737" w:name="_Toc414020002"/>
      <w:bookmarkStart w:id="738" w:name="_Toc414020419"/>
      <w:bookmarkStart w:id="739" w:name="_Toc414020837"/>
      <w:bookmarkStart w:id="740" w:name="_Toc414021254"/>
      <w:bookmarkStart w:id="741" w:name="_Toc414021671"/>
      <w:bookmarkStart w:id="742" w:name="_Toc414022091"/>
      <w:bookmarkStart w:id="743" w:name="_Toc414210558"/>
      <w:bookmarkStart w:id="744" w:name="_Toc414211334"/>
      <w:bookmarkStart w:id="745" w:name="_Toc414211696"/>
      <w:bookmarkStart w:id="746" w:name="_Toc414535741"/>
      <w:bookmarkStart w:id="747" w:name="_Toc414536176"/>
      <w:bookmarkStart w:id="748" w:name="_Toc414536978"/>
      <w:bookmarkStart w:id="749" w:name="_Toc414556918"/>
      <w:bookmarkStart w:id="750" w:name="_Toc414557307"/>
      <w:bookmarkStart w:id="751" w:name="_Toc414557696"/>
      <w:bookmarkStart w:id="752" w:name="_Toc414558089"/>
      <w:bookmarkStart w:id="753" w:name="_Toc414558487"/>
      <w:bookmarkStart w:id="754" w:name="_Toc414558892"/>
      <w:bookmarkStart w:id="755" w:name="_Toc414559696"/>
      <w:bookmarkStart w:id="756" w:name="_Toc414560502"/>
      <w:bookmarkStart w:id="757" w:name="_Toc414560905"/>
      <w:bookmarkStart w:id="758" w:name="_Toc414561310"/>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r w:rsidRPr="00AA6C96">
        <w:rPr>
          <w:caps w:val="0"/>
        </w:rPr>
        <w:t>COMPRESORES</w:t>
      </w:r>
      <w:bookmarkEnd w:id="734"/>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Generalidades</w:t>
      </w:r>
    </w:p>
    <w:p w:rsidR="00C7085E" w:rsidRDefault="00C7085E" w:rsidP="00B71B1A">
      <w:pPr>
        <w:spacing w:before="120" w:after="240" w:line="276" w:lineRule="auto"/>
        <w:ind w:right="-285"/>
      </w:pPr>
      <w:r>
        <w:t>El nivel de ruido en las salas de máquinas y en el conjunto de las instalaciones no llegará a convertir la zona en un área molesta, no debiendo sobrepasar los 80 dBA a un metro de distancia, si las máquinas se instalan en locales que requieren de acceso frecuente por parte del personal de operación y mantenimiento. En el caso de que el nivel de ruido sobrepase los límites exigidos deberán aislarse mediante cabinas individuales de insonorización.</w:t>
      </w:r>
    </w:p>
    <w:p w:rsidR="00C7085E" w:rsidRDefault="00C7085E" w:rsidP="00B71B1A">
      <w:pPr>
        <w:spacing w:before="120" w:after="240" w:line="276" w:lineRule="auto"/>
        <w:ind w:right="-285"/>
      </w:pPr>
      <w:r>
        <w:t>En cualquier caso, se deberá prever de aislamiento acústico a los edificios que alberguen las máquinas, a fin de evitar la transmisión de ruidos y vibraciones al exterior, así como de garantizar el cumplimiento de la normativa que sobre al respecto sea de aplicación.</w:t>
      </w:r>
    </w:p>
    <w:p w:rsidR="00C7085E" w:rsidRDefault="00C7085E" w:rsidP="00B71B1A">
      <w:pPr>
        <w:spacing w:before="120" w:after="240" w:line="276" w:lineRule="auto"/>
        <w:ind w:right="-285"/>
      </w:pPr>
      <w:r>
        <w:t>En el mismo sentido, deberán disponerse de los oportunos silenciadores, acoplamientos elásticos y cuantos elementos fueren necesarios, con el fin de disminuir al máximo el nivel de ruido.</w:t>
      </w:r>
    </w:p>
    <w:p w:rsidR="00C7085E" w:rsidRDefault="00C7085E" w:rsidP="00B71B1A">
      <w:pPr>
        <w:spacing w:before="120" w:after="240" w:line="276" w:lineRule="auto"/>
        <w:ind w:right="-285"/>
      </w:pPr>
      <w:r>
        <w:t>Se dispondrán por otra parte, de los sistemas de filtrado adecuados de aire que aseguren un óptimo funcionamiento de las máquinas.</w:t>
      </w:r>
    </w:p>
    <w:p w:rsidR="00C7085E" w:rsidRDefault="00C7085E" w:rsidP="00B71B1A">
      <w:pPr>
        <w:spacing w:before="120" w:after="240" w:line="276" w:lineRule="auto"/>
        <w:ind w:right="-285"/>
      </w:pPr>
      <w:r>
        <w:t>Las instalaciones y tuberías, cuya temperatura pueda sobrepasar la temperatura admitida en la correspondiente ordenanza municipal, se dispondrán calorifugadas para evitar los accidentes o quemaduras por contacto involuntario de los operarios.</w:t>
      </w:r>
    </w:p>
    <w:p w:rsidR="00C7085E" w:rsidRDefault="00C7085E" w:rsidP="00B71B1A">
      <w:pPr>
        <w:spacing w:before="120" w:after="240" w:line="276" w:lineRule="auto"/>
        <w:ind w:right="-285"/>
      </w:pPr>
      <w:r>
        <w:t>Será a cuenta del Adjudicatario asegurar que en la sala de máquinas, la temperatura ambiente máxima no superará en 3º C la temperatura exterior en la época estival, así como la disposición de termómetros de ambiente para su comprobación.</w:t>
      </w:r>
    </w:p>
    <w:p w:rsidR="00C7085E" w:rsidRDefault="00C7085E" w:rsidP="00B71B1A">
      <w:pPr>
        <w:spacing w:before="120" w:after="240" w:line="276" w:lineRule="auto"/>
        <w:ind w:right="-285"/>
      </w:pPr>
      <w:r>
        <w:t>Las máquinas instaladas comprimiendo gas contra una red común dispondrán de las oportunas válvulas de aislamiento y antirretorno que garanticen la seguridad de la instalación, protegiéndola contra explosiones.</w:t>
      </w:r>
    </w:p>
    <w:p w:rsidR="00C7085E" w:rsidRDefault="00C7085E" w:rsidP="00B71B1A">
      <w:pPr>
        <w:spacing w:before="120" w:after="240" w:line="276" w:lineRule="auto"/>
        <w:ind w:right="-285"/>
      </w:pPr>
      <w:r>
        <w:t>Para cada máquina instalada se dispondrá de termómetro y manómetro indicador de la temperatura y presión. En el caso de instalación en cabina estos elementos se situarán en el exterior de la misma.</w:t>
      </w:r>
    </w:p>
    <w:p w:rsidR="00C7085E" w:rsidRDefault="00C7085E" w:rsidP="00B71B1A">
      <w:pPr>
        <w:spacing w:before="120" w:after="240" w:line="276" w:lineRule="auto"/>
        <w:ind w:right="-285"/>
      </w:pPr>
      <w:r>
        <w:lastRenderedPageBreak/>
        <w:t>Las instalaciones cuya potencia conjunta supere los 75 kW y la unitaria sobrepase los 18,5 kW dispondrán de los mecanismos de elevación y movimiento adecuados, que en el caso de potencia unitaria superior a 55 Kw y número de máquinas mayor de dos unidades, consistirá en un puente-grúa. En caso de que la regulación de caudal de aire implique bajar la frecuencia de los motores de las soplantes por debajo de 30 Hertzios, habrá que justificar si es necesario o no instalar ventilación forzada.</w:t>
      </w:r>
    </w:p>
    <w:p w:rsidR="00C7085E" w:rsidRDefault="00C7085E" w:rsidP="00B71B1A">
      <w:pPr>
        <w:spacing w:before="120" w:after="240" w:line="276" w:lineRule="auto"/>
        <w:ind w:right="-285"/>
      </w:pPr>
      <w:r>
        <w:t>Cuando la utilización del fluido impulsado requiera condiciones que obliguen a su secado, el Adjudicatario lo efectuará mediante máquina frigorífica o de absorción.</w:t>
      </w:r>
    </w:p>
    <w:p w:rsidR="00C7085E" w:rsidRDefault="00C7085E" w:rsidP="00B71B1A">
      <w:pPr>
        <w:spacing w:before="120" w:after="240" w:line="276" w:lineRule="auto"/>
        <w:ind w:right="-285"/>
      </w:pPr>
      <w:r>
        <w:t>En los secadores de absorción el período mínimo de regeneración será de ocho horas.</w:t>
      </w:r>
    </w:p>
    <w:p w:rsidR="00C7085E" w:rsidRDefault="00C7085E" w:rsidP="00B71B1A">
      <w:pPr>
        <w:spacing w:before="120" w:after="240" w:line="276" w:lineRule="auto"/>
        <w:ind w:right="-285"/>
      </w:pPr>
      <w:r>
        <w:t>En las instalaciones de aire en que el servicio requiera sólo una unidad, existirá otra de reserva de idénticas características. Si el servicio requiere varias unidades en paralelo, todas las unidades deberán ser de idénticas características y como mínimo, existirá una unidad en reserva.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Los ensayos mínimos a realizar en taller serán los siguientes: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Determinación del caudal.</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Revoluciones en el motor y compresor.</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Presión.</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Temperatura salida de aire.</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Temperatura ambiente.</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Humedad ambiente.</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Rendimientos.</w:t>
      </w:r>
    </w:p>
    <w:p w:rsidR="00C7085E" w:rsidRDefault="00C7085E" w:rsidP="00B71B1A">
      <w:pPr>
        <w:pStyle w:val="EstiloDespus6ptoInterlineado15lneas1"/>
        <w:spacing w:before="120" w:line="276" w:lineRule="auto"/>
        <w:ind w:right="-285"/>
      </w:pPr>
      <w:r>
        <w:t>Durante el montaje:</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Comprobación de anclaje a la bancada.</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Acoplamientos y alineaciones.</w:t>
      </w:r>
    </w:p>
    <w:p w:rsidR="00C7085E" w:rsidRDefault="00C7085E" w:rsidP="00B71B1A">
      <w:pPr>
        <w:pStyle w:val="EstiloDespus6ptoInterlineado15lneas1"/>
        <w:spacing w:before="120" w:line="276" w:lineRule="auto"/>
        <w:ind w:right="-285"/>
      </w:pPr>
      <w:r>
        <w:t>Pruebas de funcionamiento: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Caudales y presiones.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Temperaturas de aspiración e impulsión.</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Consumos.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Medición y abono</w:t>
      </w:r>
    </w:p>
    <w:p w:rsidR="00C7085E" w:rsidRDefault="00C7085E" w:rsidP="00B71B1A">
      <w:pPr>
        <w:spacing w:before="120" w:after="240" w:line="276" w:lineRule="auto"/>
        <w:ind w:right="-285"/>
      </w:pPr>
      <w:r>
        <w:t>Las soplantes, ventiladores y compresores a instalar se medirán por unidades (ud) montadas en obra y se abonarán mediante la aplicación del precio unitario correspondiente del Cuadro de Precios vigente de Canal de Isabel II Gestión y que se refiere siempre a la unidad colocada, probada y en perfectas condiciones de funcionamiento.</w:t>
      </w:r>
    </w:p>
    <w:p w:rsidR="00C7085E" w:rsidRPr="00894B2B" w:rsidRDefault="00AA6C96" w:rsidP="00B71B1A">
      <w:pPr>
        <w:pStyle w:val="Ttulo2"/>
        <w:numPr>
          <w:ilvl w:val="1"/>
          <w:numId w:val="5"/>
        </w:numPr>
        <w:snapToGrid/>
        <w:spacing w:before="400" w:after="400" w:line="276" w:lineRule="auto"/>
        <w:ind w:left="0" w:right="-285"/>
        <w:rPr>
          <w:caps w:val="0"/>
        </w:rPr>
      </w:pPr>
      <w:bookmarkStart w:id="759" w:name="_Toc448741489"/>
      <w:r w:rsidRPr="00AA6C96">
        <w:rPr>
          <w:caps w:val="0"/>
        </w:rPr>
        <w:lastRenderedPageBreak/>
        <w:t>EQUIPOS A PRESIÓN</w:t>
      </w:r>
      <w:bookmarkEnd w:id="759"/>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Generalidades</w:t>
      </w:r>
    </w:p>
    <w:p w:rsidR="00C7085E" w:rsidRDefault="00C7085E" w:rsidP="00B71B1A">
      <w:pPr>
        <w:spacing w:before="120" w:after="240" w:line="276" w:lineRule="auto"/>
        <w:ind w:right="-285"/>
      </w:pPr>
      <w:r>
        <w:t>Las instalaciones de equipos a presión deberán cumplir con las especificaciones establecidas en la normativa siguiente:</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Real Decreto 769/1999, de 7 de mayo, por el que se dictan las disposiciones de aplicación de la Directiva del Parlamento Europeo y del Consejo, 97/23/CE, relativa a los equipos de presión y se modifica el Real Decreto 1244/1979, de 4 de abril, que aprobó el Reglamento de aparatos a presión.</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Real Decreto 2060/2008, de 12 de diciembre, por el que se aprueba el Reglamento de equipos a presión y sus instrucciones técnicas complementarias EP-1 a EP-6.</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Directiva 2014/68/UE del Parlamento europeo y del Consejo, de 15 de mayo de 2014, relativa a la armonización de las legislaciones de los estados miembros sobre la comercialización de equipos a presión.</w:t>
      </w:r>
    </w:p>
    <w:p w:rsidR="00C7085E" w:rsidRDefault="00C7085E" w:rsidP="00B71B1A">
      <w:pPr>
        <w:spacing w:before="120" w:after="240" w:line="276" w:lineRule="auto"/>
        <w:ind w:right="-285"/>
      </w:pPr>
      <w:r>
        <w:t>Los materiales, equipos y aparatos utilizados en las instalaciones de equipos a presión, en su caso, deberán incorporar el marcado “CE” de conformidad, de acuerdo a lo establecido en el Artículo 14 del Real Decreto 769/1999.</w:t>
      </w:r>
    </w:p>
    <w:p w:rsidR="00C7085E" w:rsidRDefault="00C7085E" w:rsidP="00B71B1A">
      <w:pPr>
        <w:spacing w:before="120" w:after="240" w:line="276" w:lineRule="auto"/>
        <w:ind w:right="-285"/>
      </w:pPr>
      <w:r>
        <w:t>Las instalaciones de equipos a presión se ejecutarán con arreglo a la legislación vigente, por medio de empresas instaladoras autorizadas para el ejercicio de la actividad, según lo establecido en el Anexo I del Real Decreto 2060/2008.</w:t>
      </w:r>
    </w:p>
    <w:p w:rsidR="00C7085E" w:rsidRDefault="00C7085E" w:rsidP="00B71B1A">
      <w:pPr>
        <w:spacing w:before="120" w:after="240" w:line="276" w:lineRule="auto"/>
        <w:ind w:right="-285"/>
      </w:pPr>
      <w:r>
        <w:t>Para cada instalación se elaborará una documentación técnica, en la que se pondrá de manifiesto el cumplimiento de las prescripciones reglamentarias. Ésta documentación, en función de las características de la instalación, será en forma de Proyecto suscrito por técnico facultativo competente, o mediante Memoria Técnica suscrita por responsable técnico de empresa instaladora autorizada, según lo establecido en el Anexo II del Real Decreto 2060/2008.</w:t>
      </w:r>
    </w:p>
    <w:p w:rsidR="00C7085E" w:rsidRDefault="00C7085E" w:rsidP="00B71B1A">
      <w:pPr>
        <w:spacing w:before="120" w:after="240" w:line="276" w:lineRule="auto"/>
        <w:ind w:right="-285"/>
      </w:pPr>
      <w:r>
        <w:t>Para cualquier instalación de equipos a presión, será preceptiva la autorización de la Dirección General de Industria, Energía y Minas de la Comunidad de Madrid.</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equipos a presión a instalar se medirán por unidades (ud) montadas en obra y se abonarán mediante la aplicación del precio unitario correspondiente del Cuadro de Precios vigente de Canal de Isabel II Gestión y que se refiere siempre a la unidad colocada, probada y en perfectas condiciones de funcionamiento.</w:t>
      </w:r>
    </w:p>
    <w:p w:rsidR="00C7085E" w:rsidRDefault="00C7085E" w:rsidP="00B71B1A">
      <w:pPr>
        <w:spacing w:before="120" w:after="240" w:line="276" w:lineRule="auto"/>
        <w:ind w:right="-285"/>
      </w:pPr>
    </w:p>
    <w:p w:rsidR="00C7085E" w:rsidRDefault="00C7085E" w:rsidP="00B71B1A">
      <w:pPr>
        <w:spacing w:before="120" w:after="240" w:line="276" w:lineRule="auto"/>
        <w:ind w:right="-285"/>
        <w:jc w:val="left"/>
        <w:sectPr w:rsidR="00C7085E" w:rsidSect="00360671">
          <w:footerReference w:type="default" r:id="rId26"/>
          <w:pgSz w:w="11906" w:h="16838"/>
          <w:pgMar w:top="1417" w:right="1416" w:bottom="1417" w:left="1701" w:header="709" w:footer="545" w:gutter="0"/>
          <w:cols w:space="720"/>
        </w:sectPr>
      </w:pPr>
    </w:p>
    <w:p w:rsidR="00C7085E" w:rsidRPr="00EF3DE9" w:rsidRDefault="00C7085E" w:rsidP="00B71B1A">
      <w:pPr>
        <w:pStyle w:val="Ttulo1"/>
        <w:pageBreakBefore/>
        <w:suppressAutoHyphens/>
        <w:spacing w:before="0" w:after="240" w:line="276" w:lineRule="auto"/>
        <w:ind w:left="1985" w:right="-285" w:hanging="1985"/>
        <w:jc w:val="both"/>
        <w:rPr>
          <w:szCs w:val="20"/>
        </w:rPr>
      </w:pPr>
      <w:bookmarkStart w:id="760" w:name="_Toc414200191"/>
      <w:bookmarkStart w:id="761" w:name="_Toc414200413"/>
      <w:bookmarkStart w:id="762" w:name="_Toc448741490"/>
      <w:bookmarkStart w:id="763" w:name="_Toc414022094"/>
      <w:bookmarkEnd w:id="760"/>
      <w:bookmarkEnd w:id="761"/>
      <w:r w:rsidRPr="00EF3DE9">
        <w:rPr>
          <w:szCs w:val="20"/>
        </w:rPr>
        <w:lastRenderedPageBreak/>
        <w:t>INSTALACIONES ELÉCTRICAS</w:t>
      </w:r>
      <w:bookmarkEnd w:id="762"/>
    </w:p>
    <w:p w:rsidR="00894B2B" w:rsidRPr="00E71AEB" w:rsidRDefault="00894B2B" w:rsidP="00B71B1A">
      <w:pPr>
        <w:pStyle w:val="Prrafodelista"/>
        <w:keepNext/>
        <w:numPr>
          <w:ilvl w:val="0"/>
          <w:numId w:val="5"/>
        </w:numPr>
        <w:tabs>
          <w:tab w:val="left" w:pos="2268"/>
        </w:tabs>
        <w:snapToGrid/>
        <w:spacing w:after="0"/>
        <w:ind w:left="2058" w:right="-285" w:hanging="357"/>
        <w:contextualSpacing w:val="0"/>
        <w:outlineLvl w:val="1"/>
        <w:rPr>
          <w:rFonts w:ascii="Arial" w:eastAsia="Times New Roman" w:hAnsi="Arial" w:cs="Times New Roman"/>
          <w:b/>
          <w:vanish/>
          <w:sz w:val="2"/>
          <w:szCs w:val="2"/>
          <w:lang w:eastAsia="es-ES"/>
        </w:rPr>
      </w:pPr>
    </w:p>
    <w:p w:rsidR="00C7085E" w:rsidRPr="00894B2B" w:rsidRDefault="00AA6C96" w:rsidP="00B71B1A">
      <w:pPr>
        <w:pStyle w:val="Ttulo2"/>
        <w:numPr>
          <w:ilvl w:val="1"/>
          <w:numId w:val="5"/>
        </w:numPr>
        <w:snapToGrid/>
        <w:spacing w:before="400" w:after="400" w:line="276" w:lineRule="auto"/>
        <w:ind w:left="0" w:right="-285"/>
        <w:rPr>
          <w:caps w:val="0"/>
        </w:rPr>
      </w:pPr>
      <w:bookmarkStart w:id="764" w:name="_Toc448741491"/>
      <w:r w:rsidRPr="00AA6C96">
        <w:rPr>
          <w:caps w:val="0"/>
        </w:rPr>
        <w:t>ESPECIFICACIONES GENERALES</w:t>
      </w:r>
      <w:bookmarkEnd w:id="764"/>
    </w:p>
    <w:p w:rsidR="00C7085E" w:rsidRDefault="00C7085E" w:rsidP="00B71B1A">
      <w:pPr>
        <w:spacing w:before="120" w:after="240" w:line="276" w:lineRule="auto"/>
        <w:ind w:right="-285"/>
      </w:pPr>
      <w:r>
        <w:t>Todas las instalaciones eléctricas cumplirán la reglamentación oficial vigente y las normas de la compañía suministradora en el momento que se lleve a efecto el montaje.</w:t>
      </w:r>
    </w:p>
    <w:p w:rsidR="00C7085E" w:rsidRDefault="00C7085E" w:rsidP="00B71B1A">
      <w:pPr>
        <w:spacing w:before="120" w:after="240" w:line="276" w:lineRule="auto"/>
        <w:ind w:right="-285"/>
      </w:pPr>
      <w:r>
        <w:t>En los casos en los que la reglamentación oficial así lo requiera para la legalización de la instalación, se deberá disponer del correspondiente Proyecto visado por un técnico competente.</w:t>
      </w:r>
    </w:p>
    <w:p w:rsidR="00C7085E" w:rsidRDefault="00C7085E" w:rsidP="00B71B1A">
      <w:pPr>
        <w:spacing w:before="120" w:after="240" w:line="276" w:lineRule="auto"/>
        <w:ind w:right="-285"/>
      </w:pPr>
      <w:r>
        <w:t>Para la puesta en servicio de la instalación serán imperativos la conformidad al suministro de la Compañía suministradora de energía, el Acta de Puesta en Servicio de centros de transformación, líneas eléctricas de media tensión y demás instalaciones que lo requieran, así como certificado, así como el Certificado de Instalación Eléctrica de Baja Tensión, otorgadas por la Dirección General de Industria, Energía y Minas.</w:t>
      </w:r>
    </w:p>
    <w:p w:rsidR="00C7085E" w:rsidRDefault="00C7085E" w:rsidP="00B71B1A">
      <w:pPr>
        <w:spacing w:before="120" w:after="240" w:line="276" w:lineRule="auto"/>
        <w:ind w:right="-285"/>
      </w:pPr>
      <w:r>
        <w:t xml:space="preserve">El Adjudicatario realizará una correcta coordinación de protecciones, la misma estará suficientemente documentada y comprenderá todas y cada una de las protecciones eléctricas en los diferentes niveles de tensión, así como, de selectividad en los diferentes circuitos. </w:t>
      </w:r>
    </w:p>
    <w:p w:rsidR="00C7085E" w:rsidRPr="00894B2B" w:rsidRDefault="00AA6C96" w:rsidP="00B71B1A">
      <w:pPr>
        <w:pStyle w:val="Ttulo2"/>
        <w:numPr>
          <w:ilvl w:val="1"/>
          <w:numId w:val="5"/>
        </w:numPr>
        <w:snapToGrid/>
        <w:spacing w:before="400" w:after="400" w:line="276" w:lineRule="auto"/>
        <w:ind w:left="0" w:right="-285"/>
        <w:rPr>
          <w:caps w:val="0"/>
        </w:rPr>
      </w:pPr>
      <w:bookmarkStart w:id="765" w:name="_Toc448741492"/>
      <w:r w:rsidRPr="00AA6C96">
        <w:rPr>
          <w:caps w:val="0"/>
        </w:rPr>
        <w:t>FORMA DE ABONO DE LAS INSTALACIONES Y EQUIPOS</w:t>
      </w:r>
      <w:bookmarkEnd w:id="765"/>
    </w:p>
    <w:p w:rsidR="00C7085E" w:rsidRDefault="00C7085E" w:rsidP="00B71B1A">
      <w:pPr>
        <w:spacing w:before="120" w:after="240" w:line="276" w:lineRule="auto"/>
        <w:ind w:right="-285"/>
      </w:pPr>
      <w:r>
        <w:t xml:space="preserve">Los equipos industriales, las máquinas o elementos y las instalaciones que constituyendo una unidad en sí formen parte de la instalación general, se medirán por unidades según figuren en el Cuadro de Precios vigente de Canal de Isabel II Gestión. </w:t>
      </w:r>
    </w:p>
    <w:p w:rsidR="00C7085E" w:rsidRDefault="00C7085E" w:rsidP="00B71B1A">
      <w:pPr>
        <w:spacing w:before="120" w:after="240" w:line="276" w:lineRule="auto"/>
        <w:ind w:right="-285"/>
      </w:pPr>
      <w:r>
        <w:t>Estos precios se refieren siempre a la unidad colocada, probada y en perfectas condiciones de funcionamiento.</w:t>
      </w:r>
    </w:p>
    <w:p w:rsidR="00C7085E" w:rsidRDefault="00C7085E" w:rsidP="00B71B1A">
      <w:pPr>
        <w:spacing w:before="120" w:after="240" w:line="276" w:lineRule="auto"/>
        <w:ind w:right="-285"/>
      </w:pPr>
      <w:r>
        <w:t>La medición de la obra ejecutada en esta clase de unidades de obra en un momento dado, será la suma de las partidas siguientes:</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a)</w:t>
      </w:r>
      <w:r>
        <w:rPr>
          <w:rFonts w:cs="Arial"/>
          <w:spacing w:val="-3"/>
          <w:szCs w:val="22"/>
        </w:rPr>
        <w:tab/>
        <w:t>El 65% del total de la unidad cuya fabricación se hace en talleres, cuando hayan sido recibidos por la Dirección de Obra la nota de aceptación del control de calidad, los certificados de materiales y pruebas correspondientes a los casos establecidos y se haya recibido la unidad de que se trate en los almacenes de la obra.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b)</w:t>
      </w:r>
      <w:r>
        <w:rPr>
          <w:rFonts w:cs="Arial"/>
          <w:spacing w:val="-3"/>
          <w:szCs w:val="22"/>
        </w:rPr>
        <w:tab/>
        <w:t>El 10% de la unidad una vez instalada en obra.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c)</w:t>
      </w:r>
      <w:r>
        <w:rPr>
          <w:rFonts w:cs="Arial"/>
          <w:spacing w:val="-3"/>
          <w:szCs w:val="22"/>
        </w:rPr>
        <w:tab/>
        <w:t>El 15% del total de la unidad cuando haya sido probada en obra.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d)</w:t>
      </w:r>
      <w:r>
        <w:rPr>
          <w:rFonts w:cs="Arial"/>
          <w:spacing w:val="-3"/>
          <w:szCs w:val="22"/>
        </w:rPr>
        <w:tab/>
        <w:t>El 10% restante cuando se realice la Recepción de las obras.</w:t>
      </w:r>
    </w:p>
    <w:p w:rsidR="00C7085E" w:rsidRDefault="00C7085E" w:rsidP="00B71B1A">
      <w:pPr>
        <w:spacing w:before="120" w:after="240" w:line="276" w:lineRule="auto"/>
        <w:ind w:right="-285"/>
      </w:pPr>
      <w:r>
        <w:t xml:space="preserve">Para las unidades cuya fabricación o construcción se realiza en obra, los sumandos </w:t>
      </w:r>
      <w:r>
        <w:lastRenderedPageBreak/>
        <w:t>serán los siguientes:</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a)</w:t>
      </w:r>
      <w:r>
        <w:rPr>
          <w:rFonts w:cs="Arial"/>
          <w:spacing w:val="-3"/>
          <w:szCs w:val="22"/>
        </w:rPr>
        <w:tab/>
        <w:t>El 75% del total de la unidad cuando esté totalmente instalada.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b)</w:t>
      </w:r>
      <w:r>
        <w:rPr>
          <w:rFonts w:cs="Arial"/>
          <w:spacing w:val="-3"/>
          <w:szCs w:val="22"/>
        </w:rPr>
        <w:tab/>
        <w:t>El 15% del total de la unidad cuando haya sido probada.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c)</w:t>
      </w:r>
      <w:r>
        <w:rPr>
          <w:rFonts w:cs="Arial"/>
          <w:spacing w:val="-3"/>
          <w:szCs w:val="22"/>
        </w:rPr>
        <w:tab/>
        <w:t>El 10% restante cuando se realice la Recepción de las obras.</w:t>
      </w:r>
    </w:p>
    <w:p w:rsidR="00C7085E" w:rsidRDefault="00C7085E" w:rsidP="00B71B1A">
      <w:pPr>
        <w:spacing w:before="120" w:after="240" w:line="276" w:lineRule="auto"/>
        <w:ind w:right="-285"/>
      </w:pPr>
      <w:r>
        <w:t>En estos precios unitarios se consideran incluidas las ayudas de albañilería y oficios necesarios para su total acabado y montaje.</w:t>
      </w:r>
    </w:p>
    <w:p w:rsidR="00C7085E" w:rsidRPr="00894B2B" w:rsidRDefault="00AA6C96" w:rsidP="00B71B1A">
      <w:pPr>
        <w:pStyle w:val="Ttulo2"/>
        <w:numPr>
          <w:ilvl w:val="1"/>
          <w:numId w:val="5"/>
        </w:numPr>
        <w:snapToGrid/>
        <w:spacing w:before="400" w:after="400" w:line="276" w:lineRule="auto"/>
        <w:ind w:left="0" w:right="-285"/>
        <w:rPr>
          <w:caps w:val="0"/>
        </w:rPr>
      </w:pPr>
      <w:bookmarkStart w:id="766" w:name="_Toc448741493"/>
      <w:r w:rsidRPr="00AA6C96">
        <w:rPr>
          <w:caps w:val="0"/>
        </w:rPr>
        <w:t>ALTA TENSIÓN</w:t>
      </w:r>
      <w:bookmarkEnd w:id="763"/>
      <w:bookmarkEnd w:id="766"/>
    </w:p>
    <w:p w:rsidR="00C7085E" w:rsidRDefault="00C7085E" w:rsidP="00B71B1A">
      <w:pPr>
        <w:spacing w:before="120" w:after="240" w:line="276" w:lineRule="auto"/>
        <w:ind w:right="-285"/>
      </w:pPr>
      <w:r>
        <w:t>Corresponde a la parte de la instalación comprendida entre el entronque con la línea de distribución de alta tensión de la compañía suministradora y la salida en baja tensión de los transformadores.</w:t>
      </w:r>
    </w:p>
    <w:p w:rsidR="00C7085E" w:rsidRDefault="00C7085E" w:rsidP="00B71B1A">
      <w:pPr>
        <w:spacing w:before="120" w:after="240" w:line="276" w:lineRule="auto"/>
        <w:ind w:right="-285"/>
      </w:pPr>
      <w:r>
        <w:t>En el caso de que la línea de alta tensión no supera los 20 metros, dicha línea no precisa de acta de puesta en servicio y no requiere proyecto específico ya que se considera acometida, según indicaciones de la Dirección General de Industria, Energía y Minas. Solo será preciso proyecto y legalización del centro seccionamiento y centro de transformación.</w:t>
      </w:r>
    </w:p>
    <w:p w:rsidR="00C7085E" w:rsidRDefault="00C7085E" w:rsidP="00B71B1A">
      <w:pPr>
        <w:spacing w:before="120" w:after="240" w:line="276" w:lineRule="auto"/>
        <w:ind w:right="-285"/>
      </w:pPr>
      <w:r>
        <w:t>Si la línea tiene más de 20 metros, será necesario un proyecto para la línea y otro para el centro seccionamiento y centro de transformación.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767" w:name="_Toc414022095"/>
      <w:bookmarkStart w:id="768" w:name="_Toc392586265"/>
      <w:bookmarkStart w:id="769" w:name="_Toc448741494"/>
      <w:r>
        <w:t>Línea de Alimentación</w:t>
      </w:r>
      <w:bookmarkEnd w:id="767"/>
      <w:bookmarkEnd w:id="768"/>
      <w:bookmarkEnd w:id="769"/>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Características</w:t>
      </w:r>
    </w:p>
    <w:p w:rsidR="00C7085E" w:rsidRDefault="00C7085E" w:rsidP="00B71B1A">
      <w:pPr>
        <w:spacing w:before="120" w:after="240" w:line="276" w:lineRule="auto"/>
        <w:ind w:right="-285"/>
      </w:pPr>
      <w:r>
        <w:t xml:space="preserve">Se define como la infraestructura eléctrica desde el punto de entronque facilitado por la compañía eléctrica hasta las instalaciones de Canal de Isabel II Gestión, tales como nuevas líneas aéreas, nuevas líneas subterráneas, nuevas posiciones en instalaciones de la compañía suministradora, etc. </w:t>
      </w:r>
    </w:p>
    <w:p w:rsidR="00C7085E" w:rsidRDefault="00C7085E" w:rsidP="00B71B1A">
      <w:pPr>
        <w:spacing w:before="120" w:after="240" w:line="276" w:lineRule="auto"/>
        <w:ind w:right="-285"/>
      </w:pPr>
      <w:r>
        <w:t xml:space="preserve">La línea de alimentación preferentemente se cederá la titularidad a la Compañía suministradora, si no hubiera inconveniente por parte de ésta, debiendo realizarse la instalación en este caso de acuerdo con sus criterios y normativa. </w:t>
      </w:r>
    </w:p>
    <w:p w:rsidR="00C7085E" w:rsidRDefault="00C7085E" w:rsidP="00B71B1A">
      <w:pPr>
        <w:spacing w:before="120" w:after="240" w:line="276" w:lineRule="auto"/>
        <w:ind w:right="-285"/>
      </w:pPr>
      <w:r>
        <w:t>Si las redes de distribución de la compañía suministradora lo permiten, la instalación quedará integrada dentro de un bucle/anillo.</w:t>
      </w:r>
    </w:p>
    <w:p w:rsidR="00C7085E" w:rsidRDefault="00C7085E" w:rsidP="00B71B1A">
      <w:pPr>
        <w:spacing w:before="120" w:after="240" w:line="276" w:lineRule="auto"/>
        <w:ind w:right="-285"/>
      </w:pPr>
      <w:r>
        <w:t>La capacidad de la línea deberá ser la necesaria para alimentar todos los transformadores de potencia que se instalen en los centros de transformación y la posible ampliación de la instalación.</w:t>
      </w:r>
    </w:p>
    <w:p w:rsidR="0032619C" w:rsidRDefault="0032619C" w:rsidP="00B71B1A">
      <w:pPr>
        <w:spacing w:before="120" w:after="240" w:line="276" w:lineRule="auto"/>
        <w:ind w:right="-285"/>
      </w:pP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Ejecución</w:t>
      </w:r>
    </w:p>
    <w:p w:rsidR="00C7085E" w:rsidRDefault="00C7085E" w:rsidP="00B71B1A">
      <w:pPr>
        <w:spacing w:before="120" w:after="240" w:line="276" w:lineRule="auto"/>
        <w:ind w:right="-285"/>
      </w:pPr>
      <w:r>
        <w:t>Desde el punto de entronque previsto, la línea de alimentación a la instalación (o líneas si se considera la alimentación en bucle/anillo) podrá ser aérea o subterránea, siendo preferente esta última opción, aprovechando siempre que sea posible el trazado de los colectores o caminos existentes. En el caso que la línea sea subterránea y la titularidad de la línea corresponda a Canal de Isabel II Gestión, se realizará mediante cuatro (4) cables unipolares de aislamiento en seco alojados en tubos resistentes y enterrados a una profundidad mínima de un metro treinta centímetros (1,30 m). La sección del cable utilizado será suficiente para posibilitar la futura ampliación de la instalación.</w:t>
      </w:r>
    </w:p>
    <w:p w:rsidR="00C7085E" w:rsidRDefault="00C7085E" w:rsidP="00B71B1A">
      <w:pPr>
        <w:spacing w:before="120" w:after="240" w:line="276" w:lineRule="auto"/>
        <w:ind w:right="-285"/>
      </w:pPr>
      <w:r>
        <w:t xml:space="preserve">Si el punto de entronque es una línea aérea y la línea de alimentación es propiedad de Canal de Isabel II Gestión, se preverá en la cabecera de la línea un poste con protección de pararrayos, autoválvulas y de cortacircuitos seccionadores fusibles de expulsión, cuando la carga lo permita, independientes de las protecciones exigidas por la Compañía suministradora de electricidad. </w:t>
      </w:r>
    </w:p>
    <w:p w:rsidR="00C7085E" w:rsidRDefault="00C7085E" w:rsidP="00B71B1A">
      <w:pPr>
        <w:keepNext/>
        <w:keepLines/>
        <w:spacing w:before="120" w:after="240" w:line="276" w:lineRule="auto"/>
        <w:ind w:right="-285"/>
      </w:pPr>
      <w:r>
        <w:t>En el caso de líneas aéreas, los postes serán de celosía con crucetas del tipo bóveda, horizontal o tresbolillo y dispondrán de pantallas dispositivos antiescalo. En el apoyo de final de línea, de transición aéreo a subterráneo, se instalarán pararrayos autoválvulas, seccionadores unipolares y anillo equipotencial para puesta a tierra de acuerdo con la Reglamentación Vigente.</w:t>
      </w:r>
    </w:p>
    <w:p w:rsidR="00E71AEB" w:rsidRDefault="00C7085E" w:rsidP="0032619C">
      <w:pPr>
        <w:spacing w:before="120" w:after="240" w:line="276" w:lineRule="auto"/>
        <w:ind w:right="-285"/>
        <w:rPr>
          <w:b/>
          <w:bCs/>
          <w:szCs w:val="28"/>
        </w:rPr>
      </w:pPr>
      <w:r>
        <w:t>El proyecto deberá incluir una partida para el abono de los derechos de enganche y de acometida desde la línea de alta tensión, así como una partida para la verificación de los equipos de medida.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Las verificaciones previas a la puesta en servicio de las líneas eléctricas de alta tensión deberán ser realizadas de acuerdo a la legislación vigente y a las Normas de la Cía. Suministradora.</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Línea Aérea:</w:t>
      </w:r>
    </w:p>
    <w:p w:rsidR="00C7085E" w:rsidRDefault="00C7085E" w:rsidP="00B71B1A">
      <w:pPr>
        <w:pStyle w:val="Prrafodelista"/>
        <w:keepLines/>
        <w:numPr>
          <w:ilvl w:val="1"/>
          <w:numId w:val="13"/>
        </w:numPr>
        <w:autoSpaceDE w:val="0"/>
        <w:autoSpaceDN w:val="0"/>
        <w:adjustRightInd w:val="0"/>
        <w:spacing w:before="120" w:after="240"/>
        <w:ind w:left="1094" w:right="-285" w:hanging="357"/>
        <w:rPr>
          <w:rFonts w:ascii="Arial" w:eastAsia="Times New Roman" w:hAnsi="Arial" w:cs="Times New Roman"/>
          <w:szCs w:val="24"/>
          <w:lang w:eastAsia="es-ES"/>
        </w:rPr>
      </w:pPr>
      <w:r>
        <w:rPr>
          <w:rFonts w:ascii="Arial" w:eastAsia="Times New Roman" w:hAnsi="Arial" w:cs="Times New Roman"/>
          <w:szCs w:val="24"/>
          <w:lang w:eastAsia="es-ES"/>
        </w:rPr>
        <w:t xml:space="preserve">Ensayos de instalaciones de puesta a tierra: medida de resistencia de puesta a tierra; el Reglamento de líneas requiere además comprobaciones de tensiones de paso y contacto en apoyos en zona frecuentada. </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Línea Subterránea:</w:t>
      </w:r>
    </w:p>
    <w:p w:rsidR="00C7085E" w:rsidRDefault="00C7085E" w:rsidP="00B71B1A">
      <w:pPr>
        <w:pStyle w:val="Prrafodelista"/>
        <w:keepLines/>
        <w:numPr>
          <w:ilvl w:val="1"/>
          <w:numId w:val="13"/>
        </w:numPr>
        <w:autoSpaceDE w:val="0"/>
        <w:autoSpaceDN w:val="0"/>
        <w:adjustRightInd w:val="0"/>
        <w:spacing w:before="120" w:after="240"/>
        <w:ind w:left="1094" w:right="-285" w:hanging="357"/>
        <w:rPr>
          <w:rFonts w:ascii="Arial" w:eastAsia="Times New Roman" w:hAnsi="Arial" w:cs="Times New Roman"/>
          <w:szCs w:val="24"/>
          <w:lang w:eastAsia="es-ES"/>
        </w:rPr>
      </w:pPr>
      <w:r>
        <w:rPr>
          <w:rFonts w:ascii="Arial" w:eastAsia="Times New Roman" w:hAnsi="Arial" w:cs="Times New Roman"/>
          <w:szCs w:val="24"/>
          <w:lang w:eastAsia="es-ES"/>
        </w:rPr>
        <w:t>Comprobación del aislamiento principal y de la cubierta, aplicando la norma UNE 211006: “Ensayos previos a la puesta en servicio de sistemas de cables eléctricos de alta tensión en corriente alterna”.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szCs w:val="20"/>
        </w:rPr>
      </w:pPr>
      <w:r>
        <w:t>Medición y abono</w:t>
      </w:r>
    </w:p>
    <w:p w:rsidR="00C7085E" w:rsidRDefault="00C7085E" w:rsidP="00B71B1A">
      <w:pPr>
        <w:spacing w:before="120" w:after="240" w:line="276" w:lineRule="auto"/>
        <w:ind w:right="-285"/>
      </w:pPr>
      <w:bookmarkStart w:id="770" w:name="_Toc392586266"/>
      <w:r>
        <w:t>En el caso de líneas subterráneas el cable, de acuerdo su nivel de aislamiento (kV) y a su sección (mm</w:t>
      </w:r>
      <w:r>
        <w:rPr>
          <w:vertAlign w:val="superscript"/>
        </w:rPr>
        <w:t>2</w:t>
      </w:r>
      <w:r>
        <w:t>), se abonará por metro (m) de cable unipolar instalado bien sea sobre lecho de arena, bajo tubo o en el interior de canaleta por aplicación del precio que corresponda de los que figuren en el Cuadro de Precios vigente de Canal de Isabel II Gestión.</w:t>
      </w:r>
    </w:p>
    <w:p w:rsidR="00C7085E" w:rsidRDefault="00C7085E" w:rsidP="00B71B1A">
      <w:pPr>
        <w:spacing w:before="120" w:after="240" w:line="276" w:lineRule="auto"/>
        <w:ind w:right="-285"/>
      </w:pPr>
      <w:r>
        <w:lastRenderedPageBreak/>
        <w:t>Las canalizaciones se medirán por metro (m) y se abonarán por aplicación del precio que corresponda de los que figuren en el Cuadro de Precios vigente de Canal de Isabel II Gestión.</w:t>
      </w:r>
    </w:p>
    <w:p w:rsidR="00C7085E" w:rsidRDefault="00C7085E" w:rsidP="00B71B1A">
      <w:pPr>
        <w:spacing w:before="120" w:after="240" w:line="276" w:lineRule="auto"/>
        <w:ind w:right="-285"/>
      </w:pPr>
      <w:r>
        <w:t>Los cables aislados deberán disponer de su correspondiente terminal y herrajes para su sujeción de acuerdo a las características de la instalación, siendo de aplicación los precios que figuren en el Cuadro de Precios vigente de Canal de Isabel II Gestión.</w:t>
      </w:r>
    </w:p>
    <w:p w:rsidR="00C7085E" w:rsidRDefault="00C7085E" w:rsidP="00B71B1A">
      <w:pPr>
        <w:spacing w:before="120" w:after="240" w:line="276" w:lineRule="auto"/>
        <w:ind w:right="-285"/>
      </w:pPr>
      <w:r>
        <w:t xml:space="preserve">Los descargadores autoválvulas, sus herrajes, protecciones de cables, antiescalo, base de fusibles, junto con las correspondientes conexiones se abonarán </w:t>
      </w:r>
      <w:bookmarkEnd w:id="770"/>
      <w:r>
        <w:t>por aplicación del precio que corresponda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771" w:name="_Toc448741495"/>
      <w:r>
        <w:t>Edificio Centro de Seccionamiento/Transformación</w:t>
      </w:r>
      <w:bookmarkEnd w:id="771"/>
    </w:p>
    <w:p w:rsidR="00C7085E" w:rsidRDefault="00C7085E" w:rsidP="00B71B1A">
      <w:pPr>
        <w:spacing w:before="120" w:after="240" w:line="276" w:lineRule="auto"/>
        <w:ind w:right="-285"/>
      </w:pPr>
      <w:r>
        <w:t>Se define como el edificio de tipo convencional, o bien prefabricado a base de piezas de hormigón moldeado, vibrado y secado a vapor, en el que en su interior se alojará como mínimo los conjuntos prefabricados de aparamenta bajo envolvente metálica (cabinas/celdas). En el caso de los centros de transformación además contendrá los transformadores de potencia.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pStyle w:val="Prrafodelista"/>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Centro de seccionamiento</w:t>
      </w:r>
    </w:p>
    <w:p w:rsidR="00C7085E" w:rsidRDefault="00C7085E" w:rsidP="00B71B1A">
      <w:pPr>
        <w:spacing w:before="120" w:after="240" w:line="276" w:lineRule="auto"/>
        <w:ind w:right="-285"/>
        <w:rPr>
          <w:lang w:val="es-ES_tradnl"/>
        </w:rPr>
      </w:pPr>
      <w:r>
        <w:t xml:space="preserve">Si la alimentación se realiza en bucle/anillo desde la red de alta tensión propiedad de la Compañía suministradora, o bien si ésta lo exige aunque no se produzca la circunstancia señalada anteriormente, se instalará un Centro de Seccionamiento para la entrega de la energía en alta tensión, ubicado y orientado de forma que tenga acceso directo desde la vía pública, de manera que el personal de la Compañía pueda acceder a los elementos de medida y seccionamiento sin que se precise dotarle de una servidumbre de paso al interior de la instalación. </w:t>
      </w:r>
    </w:p>
    <w:p w:rsidR="00C7085E" w:rsidRDefault="00C7085E" w:rsidP="00B71B1A">
      <w:pPr>
        <w:spacing w:before="120" w:after="240" w:line="276" w:lineRule="auto"/>
        <w:ind w:right="-285"/>
      </w:pPr>
      <w:r>
        <w:t>Se instalará asimismo un Centro de Seccionamiento, aunque no sea exigido por la Compañía suministradora, en el supuesto de que la propiedad de la línea de alimentación corresponda a Canal de Isabel II Gestión y el centro de transformación de la instalación no disponga de acceso directo desde la vía pública. En determinadas circunstancias la compañía suministradora puede exigir la separación física de las cabinas situadas aguas arriba de la cabina de protección general. En este caso la cabina de interruptor-seccionador pasante será sustituida por una cabina de salida de línea dotada de las protecciones previstas por la compañía.</w:t>
      </w:r>
    </w:p>
    <w:p w:rsidR="00C7085E" w:rsidRDefault="00C7085E" w:rsidP="00B71B1A">
      <w:pPr>
        <w:spacing w:before="120" w:after="240" w:line="276" w:lineRule="auto"/>
        <w:ind w:right="-285"/>
      </w:pPr>
      <w:r>
        <w:t>En su interior únicamente se alojarán los conjuntos prefabricados de aparamenta bajo envolvente metálica (cabinas/celdas), el armario de medida de compañía para equipo de medida, con salida de datos serie y con terminal para conexión del equipo de medida de telegestión.</w:t>
      </w:r>
    </w:p>
    <w:p w:rsidR="00C7085E" w:rsidRDefault="00C7085E" w:rsidP="00B71B1A">
      <w:pPr>
        <w:spacing w:before="120" w:after="240" w:line="276" w:lineRule="auto"/>
        <w:ind w:right="-285"/>
      </w:pPr>
      <w:r>
        <w:t xml:space="preserve">Los equipos de medida se adaptaran a lo estipulado en el Real Decreto 1110/2007, de 24 </w:t>
      </w:r>
      <w:r>
        <w:lastRenderedPageBreak/>
        <w:t>de agosto, por el que se aprueba el Reglamento unificado de puntos de medida del sistema eléctrico.</w:t>
      </w:r>
    </w:p>
    <w:p w:rsidR="00C7085E" w:rsidRDefault="00C7085E" w:rsidP="00B71B1A">
      <w:pPr>
        <w:spacing w:before="120" w:after="240" w:line="276" w:lineRule="auto"/>
        <w:ind w:right="-285"/>
      </w:pPr>
      <w:r>
        <w:t>La conexión entre la cabina de salida de este centro y la cabina de entrada al centro de transformación, se realizará mediante cuatro (4) cables unipolares (uno de reserva equipado con terminales) de aislamiento en seco alojados en tubos resistentes y enterrados a una profundidad mínima de un metro treinta centímetros (1,30 m). La sección será la suficiente para posibilitar la futura ampliación de la instalación.</w:t>
      </w:r>
    </w:p>
    <w:p w:rsidR="00C7085E" w:rsidRDefault="00C7085E" w:rsidP="00B71B1A">
      <w:pPr>
        <w:spacing w:before="120" w:after="240" w:line="276" w:lineRule="auto"/>
        <w:ind w:right="-285"/>
      </w:pPr>
      <w:r>
        <w:t>No se ubicará en este centro ningún cuadro de baja tensión, excepto el propio cuadro de protección de alumbrado, emergencia y bases de enchufe del propio edificio.</w:t>
      </w:r>
    </w:p>
    <w:p w:rsidR="00C7085E" w:rsidRDefault="00C7085E" w:rsidP="00B71B1A">
      <w:pPr>
        <w:spacing w:before="120" w:after="240" w:line="276" w:lineRule="auto"/>
        <w:ind w:right="-285"/>
      </w:pPr>
      <w:r>
        <w:t>Deberá preverse una línea de alimentación de baja tensión al centro de seccionamiento, para alumbrado y servicios auxiliares, procedente del cuadro general de distribución del centro de transformación o de alguno de los cuadros auxiliares. En su defecto, podrá instalarse una celda con autotransformador incorporado para el alumbrado y fuerza del centro de seccionamiento.</w:t>
      </w:r>
    </w:p>
    <w:p w:rsidR="00C7085E" w:rsidRDefault="00C7085E" w:rsidP="00B71B1A">
      <w:pPr>
        <w:pStyle w:val="Prrafodelista"/>
        <w:keepNext/>
        <w:keepLines/>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Características del Centro de transformación</w:t>
      </w:r>
    </w:p>
    <w:p w:rsidR="00C7085E" w:rsidRDefault="00C7085E" w:rsidP="00B71B1A">
      <w:pPr>
        <w:spacing w:before="120" w:after="240" w:line="276" w:lineRule="auto"/>
        <w:ind w:right="-285"/>
        <w:rPr>
          <w:lang w:val="es-ES_tradnl"/>
        </w:rPr>
      </w:pPr>
      <w:r>
        <w:t>Si excepcionalmente la instalación no dispusiera de centro de seccionamiento, aun siendo alimentado desde la red de distribución de media tensión, el centro de transformación dispondrá de acceso directo desde la vía pública a un habitáculo o zona del centro de transformación para que el personal de la Compañía suministradora, pueda acceder hasta los elementos de medida sin que se precise ninguna servidumbre de paso al resto de la instalación.</w:t>
      </w:r>
    </w:p>
    <w:p w:rsidR="00C7085E" w:rsidRDefault="00C7085E" w:rsidP="00B71B1A">
      <w:pPr>
        <w:spacing w:before="120" w:after="240" w:line="276" w:lineRule="auto"/>
        <w:ind w:right="-285"/>
      </w:pPr>
      <w:r>
        <w:t>Se dejará un espacio físico, para montar en el futuro un transformador adicional de similares características a los proyectados, así como para la futura instalación de su celda de protección correspondiente.</w:t>
      </w:r>
    </w:p>
    <w:p w:rsidR="00C7085E" w:rsidRDefault="00C7085E" w:rsidP="00B71B1A">
      <w:pPr>
        <w:spacing w:before="120" w:after="240" w:line="276" w:lineRule="auto"/>
        <w:ind w:right="-285"/>
      </w:pPr>
      <w:r>
        <w:t>Los cables de baja tensión y de media tensión discurrirán por canaletas independientes y sin cruzamientos, protegidas contra posibles derrames de aceites.</w:t>
      </w:r>
    </w:p>
    <w:p w:rsidR="00C7085E" w:rsidRDefault="00C7085E" w:rsidP="00B71B1A">
      <w:pPr>
        <w:spacing w:before="120" w:after="240" w:line="276" w:lineRule="auto"/>
        <w:ind w:right="-285"/>
      </w:pPr>
      <w:r>
        <w:t>No se ubicará en este centro ningún cuadro de baja tensión, excepto el propio cuadro de protección de alumbrado, emergencia y bases de enchufe del propio edificio.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Los centros prefabricados constarán de todos los elementos previstos en sus normas correspondientes y su manejo se realizará con el procedimiento indicado por sus fabricantes.</w:t>
      </w:r>
    </w:p>
    <w:p w:rsidR="00C7085E" w:rsidRDefault="00C7085E" w:rsidP="00B71B1A">
      <w:pPr>
        <w:spacing w:before="120" w:after="240" w:line="276" w:lineRule="auto"/>
        <w:ind w:right="-285"/>
      </w:pPr>
      <w:r>
        <w:t>Estarán dotados de todos los pernos de sujeción e izado correspondientes, que estarán apretados correctamente.</w:t>
      </w:r>
    </w:p>
    <w:p w:rsidR="00C7085E" w:rsidRDefault="00C7085E" w:rsidP="00B71B1A">
      <w:pPr>
        <w:spacing w:before="120" w:after="240" w:line="276" w:lineRule="auto"/>
        <w:ind w:right="-285"/>
      </w:pPr>
      <w:r>
        <w:t xml:space="preserve">La situación del centro estará de acuerdo con las licencias de obra otorgadas, respetando las alineaciones con las edificaciones existentes, las distancias a bordillo y cuantas </w:t>
      </w:r>
      <w:r>
        <w:lastRenderedPageBreak/>
        <w:t>indicaciones figuren expresamente en ellos.</w:t>
      </w:r>
    </w:p>
    <w:p w:rsidR="00C7085E" w:rsidRDefault="00C7085E" w:rsidP="00B71B1A">
      <w:pPr>
        <w:spacing w:before="120" w:after="240" w:line="276" w:lineRule="auto"/>
        <w:ind w:right="-285"/>
      </w:pPr>
      <w:r>
        <w:t>El emplazamiento del centro será tal, que permita el acceso de las canalizaciones de MT y BT discurriendo siempre que sea posible por zonas de dominio público, debiendo establecerse las correspondientes servidumbres de paso en aquellos casos en que la solución técnica más adecuada requiera o exija el paso por propiedad privada.</w:t>
      </w:r>
    </w:p>
    <w:p w:rsidR="00C7085E" w:rsidRDefault="00C7085E" w:rsidP="00B71B1A">
      <w:pPr>
        <w:spacing w:before="120" w:after="240" w:line="276" w:lineRule="auto"/>
        <w:ind w:right="-285"/>
      </w:pPr>
      <w:r>
        <w:t>El centro quedará nivelado y con la rasante de su piso interior 10 cm como mínimo más alta de la rasante de las aceras o jardines colindantes.</w:t>
      </w:r>
    </w:p>
    <w:p w:rsidR="00C7085E" w:rsidRDefault="00C7085E" w:rsidP="00B71B1A">
      <w:pPr>
        <w:spacing w:before="120" w:after="240" w:line="276" w:lineRule="auto"/>
        <w:ind w:right="-285"/>
      </w:pPr>
      <w:r>
        <w:t>Tanto en el centro de seccionamiento como en el de transformación se dispondrá del equipamiento que indique la legislación vigente, además de:</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Ventanas de inspección en las puertas de los transformadores que permitan visualizar las protecciones instaladas en el transformador</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Instrucciones de explotación y seguridad, plastificadas o enmarcadas.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Diagrama unifilar, plastificado o enmarcado.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Pértiga de maniobra y pértiga detectora de tensión.</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Banqueta aislante.</w:t>
      </w:r>
    </w:p>
    <w:p w:rsidR="00C7085E" w:rsidRDefault="00C7085E" w:rsidP="00B71B1A">
      <w:pPr>
        <w:pStyle w:val="Prrafodelista"/>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Guantes auxiliares con estuche metálico.</w:t>
      </w:r>
    </w:p>
    <w:p w:rsidR="00C7085E" w:rsidRDefault="00C7085E" w:rsidP="00B71B1A">
      <w:pPr>
        <w:spacing w:before="120" w:after="240" w:line="276" w:lineRule="auto"/>
        <w:ind w:right="-285"/>
        <w:rPr>
          <w:b/>
          <w:lang w:val="es-ES_tradnl"/>
        </w:rPr>
      </w:pPr>
      <w:r>
        <w:rPr>
          <w:b/>
        </w:rPr>
        <w:t>Medidas adicionales de seguridad:</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Las puertas de acceso a las salas de los transformadores dispondrán de una cerradura de seguridad, enclavada con la cerradura de puesta a tierra de la celda de protección de transformador. Esta cerradura no liberará la llave a menos que la hoja se encuentre en posición de cerrado.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El piso del Centro estará constituido por un mallazo electrosoldado con redondos de diámetro no inferior a cuatro milímetros (4 mm) formando una retícula no superior a 0,30 x 0,30 m. Este mallazo se conectará como mínimo en dos puntos preferentemente opuestos a la puesta a tierra de seguridad del Centro. Con esta disposición se conseguirá que la persona que deba acceder a una parte que pueda quedar en tensión, de forma eventual, esté sobre una superficie equipotencial, con lo que desaparecerá el riesgo inherente a la tensión de paso y contacto interior. Este mallazo se cubrirá con una capa de hormigón de diez centímetros (10 cm) de espesor como mínimo.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Como medida de seguridad adicional, se construirá una acera de un metro y medio (1,5 m) de ancho en envolventes independientes de CS/CT. Al menos en aquellas partes de la fachada donde existan elementos metálicos (puertas, rejillas, etc), la acera dispondrá de mallazo embebido, de 30x30 cm y con al menos diez centímetros (10 cm) de hormigón sobre el mismo. Dicho mallazo será de un metro (1 m) de longitud montado desde el cerramiento. Tanto el mallazo de la acera como los elementos metálicos mencionados se conectarán a la tierra de protección.</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A fin de simplificar el problema de distancias mínimas reglamentarias entre la tierra de protección y el resto de tierras, preferentemente se diseñará una única envolvente para el centro de seccionamiento y centro de transformación (CS+CT).</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lastRenderedPageBreak/>
        <w:t xml:space="preserve">Cuando la distancia entre tierra de protección y tierra de masas de utilización sea suficiente para considerarlas tierras independientes reglamentariamente, las tensiones aplicadas de paso en el acceso y la de contacto exterior se calcularán mediante el coeficiente de la configuración elegida para la tierra de protección, Kc, según método UNESA. </w:t>
      </w:r>
    </w:p>
    <w:p w:rsidR="00E71AEB"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Si la tierra de protección y la tierra de masas de utilización no pudieran ser independientes, al no cumplir la distancia mínima entre ellas establecida reglamentariamente, la tierra de protección adoptará una disposición remota que exigirá la no conductividad de la envolvente del CS+CT, de forma que no actúe por sí misma como una pica, por lo que la parte asentada en el terreno deberá estar aislada del mismo o mostrar una resistencia suficientemente alta como para poder despreciar la corriente que se derive a tierra en el propio CS+CT. El cable que unirá las masas del CS+CT con las picas remotas deberá ser de sección adecuada y disponer de un aislamiento suficiente para la tensión nominal de la red de distribución. En este caso de tierra de protección remota, la acera perimetral no dispondrá de mallazo embebido y las masas metálicas del cerramiento vertical estarán aisladas, sin conexión a la tierra de protección. Se tomará especial cuidado en que las tensiones transferidas desde la tierra de protección (remota o local en el CS+CT) a elementos metálicos accesibles tales como vallado perimetral del recinto u otros, sea inferior a la establecida reglamentariamente.</w:t>
      </w:r>
    </w:p>
    <w:p w:rsidR="00C7085E" w:rsidRPr="00E71AEB"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sidRPr="00E71AEB">
        <w:rPr>
          <w:rFonts w:ascii="Arial" w:hAnsi="Arial" w:cs="Arial"/>
          <w:lang w:val="es-ES_tradnl"/>
        </w:rPr>
        <w:t>En caso de edificio prefabricado de hormigón, éste estará construido de tal manera que, una vez fabricado y montado, su interior sea una superficie equipotencial. Todas las varillas metálicas embebidas en el hormigón que constituyan la armadura del sistema equipotencial estarán unidas entre sí mediante soldadura eléctrica, y unidas a la red de tierras de protección. Se seguirán las mismas disposiciones que las ya señaladas para edificio “in situ”.</w:t>
      </w:r>
    </w:p>
    <w:p w:rsidR="00C7085E" w:rsidRDefault="00C7085E" w:rsidP="00B71B1A">
      <w:pPr>
        <w:pStyle w:val="Prrafodelista"/>
        <w:keepNext/>
        <w:keepLines/>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En el cálculo de la intensidad de defecto, se considerará la impedancia del neutro del transformador de la subestación que alimenta el CT, o la impedancia capacitiva de la línea aérea en caso de existir neutro aislado en dicha subestación.</w:t>
      </w:r>
    </w:p>
    <w:p w:rsidR="00C7085E" w:rsidRDefault="00C7085E" w:rsidP="00B71B1A">
      <w:pPr>
        <w:spacing w:before="120" w:after="240" w:line="276" w:lineRule="auto"/>
        <w:ind w:right="-285"/>
        <w:rPr>
          <w:lang w:val="es-ES_tradnl"/>
        </w:rPr>
      </w:pPr>
      <w:r>
        <w:t>Con estas medidas de seguridad, no será necesario calcular las tensiones de paso y contacto en el interior, ya que estas serán prácticamente nulas.</w:t>
      </w:r>
    </w:p>
    <w:p w:rsidR="00C7085E" w:rsidRDefault="00C7085E" w:rsidP="00B71B1A">
      <w:pPr>
        <w:spacing w:before="120" w:after="240" w:line="276" w:lineRule="auto"/>
        <w:ind w:right="-285"/>
      </w:pPr>
      <w:r>
        <w:t>Sí se requerirá el cálculo de las tensiones de paso en el exterior y en el acceso al CS+CT, de forma que estén dentro del límite establecido por la Instrucción Técnica Complementaria ITC-RAT 13 del Reglamento sobre Condiciones Técnicas y Garantías de Seguridad en las Instalaciones Eléctricas de Alta Tensión, que se establece en el Real Decreto 337/2014, de 9 de mayo.</w:t>
      </w:r>
    </w:p>
    <w:p w:rsidR="00C7085E" w:rsidRDefault="00C7085E" w:rsidP="00B71B1A">
      <w:pPr>
        <w:spacing w:before="120" w:after="240" w:line="276" w:lineRule="auto"/>
        <w:ind w:right="-285"/>
      </w:pPr>
      <w:proofErr w:type="gramStart"/>
      <w:r>
        <w:t>Las PaT</w:t>
      </w:r>
      <w:proofErr w:type="gramEnd"/>
      <w:r>
        <w:t xml:space="preserve"> de Protección y Servicio (neutro) se establecerán separadas debiendo incluirse la correspondiente justificación.</w:t>
      </w:r>
    </w:p>
    <w:p w:rsidR="00C7085E" w:rsidRDefault="00C7085E" w:rsidP="00B71B1A">
      <w:pPr>
        <w:spacing w:before="120" w:after="240" w:line="276" w:lineRule="auto"/>
        <w:ind w:right="-285"/>
      </w:pPr>
      <w:r>
        <w:t>Para acometer la tarea de seleccionar el electrodo de PaT es necesario el conocimiento del valor numérico de la resistividad del terreno, pues de ella dependerán tanto la resistencia de difusión a tierra como la distribución de potenciales en el terreno, y como consecuencia las tensiones de paso y contacto resultante en la instalación.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Control de calidad</w:t>
      </w:r>
    </w:p>
    <w:p w:rsidR="00C7085E" w:rsidRDefault="00C7085E" w:rsidP="00B71B1A">
      <w:pPr>
        <w:spacing w:before="120" w:after="240" w:line="276" w:lineRule="auto"/>
        <w:ind w:right="-285"/>
      </w:pPr>
      <w:r>
        <w:t>Las verificaciones previas a la puesta en servicio de las casetas prefabricadas deberán ser de acuerdo a la legislación vigente; ensayos de instalaciones de puesta a tierra: medida de resistencia de puesta a tierra y comprobaciones de tensiones de paso.</w:t>
      </w:r>
    </w:p>
    <w:p w:rsidR="00C7085E" w:rsidRDefault="00C7085E" w:rsidP="00B71B1A">
      <w:pPr>
        <w:spacing w:before="120" w:after="240" w:line="276" w:lineRule="auto"/>
        <w:ind w:right="-285"/>
      </w:pPr>
      <w:r>
        <w:t>La conexión de los distintos elementos a la línea de tierra de protección, el tipo del conductor de la línea de tierra y su sección será la especificada en el proyecto, de la misma forma se hará lo mismo para la conexión de la salida del neutro del cuadro de BT a la línea de tierra de servicios.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 preparación del terreno se hará por metros cuadrados (m</w:t>
      </w:r>
      <w:r>
        <w:rPr>
          <w:vertAlign w:val="superscript"/>
        </w:rPr>
        <w:t>2</w:t>
      </w:r>
      <w:r>
        <w:t>) de superficie necesaria para alojar la caseta prefabricada mediante la aplicación del precio que corresponda de los que figuren en el Cuadro de Precios vigente de Canal de Isabel II Gestión.</w:t>
      </w:r>
    </w:p>
    <w:p w:rsidR="00C7085E" w:rsidRDefault="00C7085E" w:rsidP="00B71B1A">
      <w:pPr>
        <w:spacing w:before="120" w:after="240" w:line="276" w:lineRule="auto"/>
        <w:ind w:right="-285"/>
      </w:pPr>
      <w:r>
        <w:t xml:space="preserve">Las casetas prefabricadas se abonaran por unidad (ud), en función de sus dimensiones, por aplicación del precio que corresponda de los </w:t>
      </w:r>
      <w:bookmarkStart w:id="772" w:name="_Toc414022098"/>
      <w:bookmarkStart w:id="773" w:name="_Toc392586267"/>
      <w:r>
        <w:t>que figuren en el Cuadro de Precios vigente de Canal de Isabel II Gestión.</w:t>
      </w:r>
    </w:p>
    <w:p w:rsidR="00C7085E" w:rsidRDefault="00C7085E" w:rsidP="00B71B1A">
      <w:pPr>
        <w:pStyle w:val="Ttulo3"/>
        <w:keepLines/>
        <w:widowControl/>
        <w:numPr>
          <w:ilvl w:val="2"/>
          <w:numId w:val="5"/>
        </w:numPr>
        <w:tabs>
          <w:tab w:val="left" w:pos="567"/>
        </w:tabs>
        <w:suppressAutoHyphens/>
        <w:snapToGrid w:val="0"/>
        <w:spacing w:before="120" w:after="240" w:line="276" w:lineRule="auto"/>
        <w:ind w:left="1701" w:right="-285" w:hanging="1701"/>
      </w:pPr>
      <w:bookmarkStart w:id="774" w:name="_Toc448741496"/>
      <w:r>
        <w:t>Celdas</w:t>
      </w:r>
      <w:bookmarkEnd w:id="772"/>
      <w:bookmarkEnd w:id="773"/>
      <w:bookmarkEnd w:id="774"/>
    </w:p>
    <w:p w:rsidR="00C7085E" w:rsidRDefault="00C7085E" w:rsidP="00B71B1A">
      <w:pPr>
        <w:pStyle w:val="Ttulo4"/>
        <w:keepLines/>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keepNext/>
        <w:keepLines/>
        <w:spacing w:before="120" w:after="240" w:line="276" w:lineRule="auto"/>
        <w:ind w:right="-285"/>
      </w:pPr>
      <w:r>
        <w:t>En el interior del centro de transformación/seccionamiento se alojarán conjuntos prefabricados de aparamenta bajo envolvente metálica (cabinas/celdas), y estarán formados por los siguientes elementos:</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Cabinas de entrada/salida con Interruptor - Seccionador de línea en SF6.</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Cabina con Interruptor - Seccionador pasante en SF6.</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Cabina de protección general con Disyuntor Automático en SF6 y relés programables de protección con capacidad de almacenamiento de distintos bloques de regulación de la protección. Las protecciones de éstos serán al menos contra cortocircuitos entre fases y sobreintensidad (50-51), y contra cortocircuitos fase - tierra y fugas a tierra u homopolar (50N-51N). El disyuntor será motorizado.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Cabina de medida en A.T. con 3 T.T. y 3 T.I. La relación de transformación de los TI’s serán determinadas y aprobadas por Canal de Isabel II Gestión, para que su calibre quede  acorde para absorber futuras posibles ampliaciones del centro de transformación.</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 xml:space="preserve">Cabinas de protección de transformadores en número igual al de éstos, incluido el de reserva. La protección se realizará por medio de un interruptor-seccionador con fusibles combinados (ruptofusible). Para potencias iguales o superiores a 400 kVA, los fusibles se sustituirán por un disyuntor automático SF6. En todos los casos, se dispondrá de protección indirecta mediante relés programables de protección con capacidad de almacenamiento de distintos bloques de regulación de protección. Las protecciones de estos serán al menos contra cortocircuitos entre fases y sobreintensidad de fase y neutro (50-51, 50N/51N y 50G), y un </w:t>
      </w:r>
      <w:r>
        <w:rPr>
          <w:rFonts w:ascii="Arial" w:hAnsi="Arial" w:cs="Arial"/>
          <w:lang w:val="es-ES_tradnl"/>
        </w:rPr>
        <w:lastRenderedPageBreak/>
        <w:t>seccionador de puesta a tierra inferior, con enclavamiento entre ambos. El disyuntor será motorizado en cada cabina de protección de transformador. Adicionalmente, se incorporará en estas celdas un relé que reciba las señales de los transformadores de intensidad de las salidas de baja tensión de los transformadores de potencia.</w:t>
      </w:r>
    </w:p>
    <w:p w:rsidR="00C7085E" w:rsidRDefault="00C7085E" w:rsidP="00B71B1A">
      <w:pPr>
        <w:spacing w:before="120" w:after="240" w:line="276" w:lineRule="auto"/>
        <w:ind w:right="-285"/>
        <w:rPr>
          <w:lang w:val="es-ES_tradnl"/>
        </w:rPr>
      </w:pPr>
      <w:r>
        <w:t>Todas las cabinas del centro de transformación dispondrán de testigos de presencia de tensión.</w:t>
      </w:r>
    </w:p>
    <w:p w:rsidR="00C7085E" w:rsidRDefault="00C7085E" w:rsidP="00B71B1A">
      <w:pPr>
        <w:spacing w:before="120" w:after="240" w:line="276" w:lineRule="auto"/>
        <w:ind w:right="-285"/>
      </w:pPr>
      <w:r>
        <w:t>Se dejará un espacio físico, con obra civil ejecutada, para la instalación futura de una celda adicional de protección de transformador.</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Las celdas se situarán en los lugares y en el orden indicado en los planos del proyecto. Se colocarán adecuadamente sobre la solera del centro. Estarán alineados entre sí, paralelas a los paramentos y perfectamente aplomadas.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Se comprobará que las celdas en cuanto a sus funciones, así como su colocación, su orden y su alineación, se corresponden a lo especificado en el proyecto.</w:t>
      </w:r>
    </w:p>
    <w:p w:rsidR="00C7085E" w:rsidRDefault="00C7085E" w:rsidP="00B71B1A">
      <w:pPr>
        <w:spacing w:before="120" w:after="240" w:line="276" w:lineRule="auto"/>
        <w:ind w:right="-285"/>
      </w:pPr>
      <w:r>
        <w:t>Las celdas estarán conectadas a la línea de tierra de PaT de Protección (en dos puntos).</w:t>
      </w:r>
    </w:p>
    <w:p w:rsidR="00C7085E" w:rsidRDefault="00C7085E" w:rsidP="00B71B1A">
      <w:pPr>
        <w:spacing w:before="120" w:after="240" w:line="276" w:lineRule="auto"/>
        <w:ind w:right="-285"/>
      </w:pPr>
      <w:r>
        <w:t xml:space="preserve">Se comprobará que los mandos de interruptores seccionadores, seccionadores de p.a.t. y enclavamientos realizan la función para la que fueron diseñadas. </w:t>
      </w:r>
    </w:p>
    <w:p w:rsidR="00C7085E" w:rsidRDefault="00C7085E" w:rsidP="00B71B1A">
      <w:pPr>
        <w:spacing w:before="120" w:after="240" w:line="276" w:lineRule="auto"/>
        <w:ind w:right="-285"/>
      </w:pPr>
      <w:r>
        <w:t>Se realizarán ensayos eléctricos en el primario de las celdas para comprobar el adecuado funcionamiento y tarado de las protecciones de las mismas.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celdas se abonaran por unidad (ud), en función de sus características, por aplicación del precio que corresponda de los que figuren en el Cuadro de Precios vigente de Canal de Isabel II Gestión.</w:t>
      </w:r>
    </w:p>
    <w:p w:rsidR="00C7085E" w:rsidRDefault="00C7085E" w:rsidP="00B71B1A">
      <w:pPr>
        <w:spacing w:before="120" w:after="240" w:line="276" w:lineRule="auto"/>
        <w:ind w:right="-285"/>
      </w:pPr>
      <w:r>
        <w:t>La interconexión entre las diferentes celdas se realiza con cable aislado de acuerdo al nivel de aislamiento (kV) utilizado y a su sección (mm</w:t>
      </w:r>
      <w:r>
        <w:rPr>
          <w:vertAlign w:val="superscript"/>
        </w:rPr>
        <w:t>2</w:t>
      </w:r>
      <w:r>
        <w:t xml:space="preserve">) y se abonara por metro (m) de cable unipolar instalado en el interior de canaleta por aplicación </w:t>
      </w:r>
      <w:bookmarkStart w:id="775" w:name="_Toc392586268"/>
      <w:bookmarkStart w:id="776" w:name="_Toc414022099"/>
      <w:r>
        <w:t>del precio que corresponda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777" w:name="_Toc448741497"/>
      <w:r>
        <w:t>Transformadores</w:t>
      </w:r>
      <w:bookmarkEnd w:id="775"/>
      <w:r>
        <w:t xml:space="preserve"> de Potencia</w:t>
      </w:r>
      <w:bookmarkEnd w:id="776"/>
      <w:bookmarkEnd w:id="777"/>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spacing w:before="120" w:after="240" w:line="276" w:lineRule="auto"/>
        <w:ind w:right="-285"/>
      </w:pPr>
      <w:bookmarkStart w:id="778" w:name="_Toc392586269"/>
      <w:r>
        <w:t xml:space="preserve">Serán trifásicos con devanados de cobre en baño de aceite o silicona, refrigeración natural, conmutador sobre tapa, ruedas para transporte orientables en dos direcciones a </w:t>
      </w:r>
      <w:r>
        <w:lastRenderedPageBreak/>
        <w:t>90º, borna para puesta a tierra de la cuba, indicador de nivel de aceite, termómetro de esfera con dos contactos (para potencias superiores a 250 KVA se sustituirá por un relé de protección con varias funciones), y válvula de vaciado y toma de muestra.</w:t>
      </w:r>
    </w:p>
    <w:p w:rsidR="00C7085E" w:rsidRDefault="00C7085E" w:rsidP="00B71B1A">
      <w:pPr>
        <w:spacing w:before="120" w:after="240" w:line="276" w:lineRule="auto"/>
        <w:ind w:right="-285"/>
      </w:pPr>
      <w:r>
        <w:t>La conexión será en triángulo en la parte de alta tensión y estrella en la de baja tensión (Yzn11 para potencias hasta 160 KVA, y Dyn11 para potencias superiores a 160 KVA).</w:t>
      </w:r>
    </w:p>
    <w:p w:rsidR="00C7085E" w:rsidRDefault="00C7085E" w:rsidP="00B71B1A">
      <w:pPr>
        <w:spacing w:before="120" w:after="240" w:line="276" w:lineRule="auto"/>
        <w:ind w:right="-285"/>
        <w:rPr>
          <w:rFonts w:cs="Arial"/>
          <w:bCs/>
          <w:color w:val="000000"/>
          <w:szCs w:val="22"/>
        </w:rPr>
      </w:pPr>
      <w:r>
        <w:t>Cumplirán con la norma UNE 21428: “</w:t>
      </w:r>
      <w:r>
        <w:rPr>
          <w:rFonts w:cs="Arial"/>
          <w:bCs/>
          <w:i/>
          <w:color w:val="000000"/>
          <w:szCs w:val="22"/>
        </w:rPr>
        <w:t xml:space="preserve">Transformadores trifásicos de distribución sumergidos en aceite, 50 Hz, de 50 kVA a 2 500 kVA con tensión más elevada para el material hasta 36 Kv. </w:t>
      </w:r>
      <w:r>
        <w:rPr>
          <w:rFonts w:cs="Arial"/>
          <w:bCs/>
          <w:color w:val="000000"/>
          <w:szCs w:val="22"/>
        </w:rPr>
        <w:t xml:space="preserve">También cumplirán con la </w:t>
      </w:r>
      <w:r>
        <w:rPr>
          <w:rFonts w:cs="Arial"/>
          <w:sz w:val="23"/>
        </w:rPr>
        <w:t>UNE-EN 60076: “</w:t>
      </w:r>
      <w:r>
        <w:rPr>
          <w:rFonts w:cs="Arial"/>
          <w:i/>
          <w:sz w:val="23"/>
        </w:rPr>
        <w:t>Transformadores de Potencia</w:t>
      </w:r>
      <w:r>
        <w:rPr>
          <w:rFonts w:cs="Arial"/>
          <w:sz w:val="23"/>
        </w:rPr>
        <w:t>”, RU 5201D, HD 428 y el</w:t>
      </w:r>
      <w:r>
        <w:t xml:space="preserve"> </w:t>
      </w:r>
      <w:r>
        <w:rPr>
          <w:rFonts w:cs="Arial"/>
          <w:bCs/>
          <w:sz w:val="23"/>
          <w:szCs w:val="23"/>
        </w:rPr>
        <w:t>Reglamento (UE) Nº 548/2014 de La Comisión de 21 de mayo de 2014.</w:t>
      </w:r>
    </w:p>
    <w:p w:rsidR="00C7085E" w:rsidRDefault="00C7085E" w:rsidP="00B71B1A">
      <w:pPr>
        <w:spacing w:before="120" w:after="240" w:line="276" w:lineRule="auto"/>
        <w:ind w:right="-285"/>
      </w:pPr>
      <w:r>
        <w:t>En las instalaciones de alta tensión en las que la tensión de la línea de distribución de la compañía suministradora no sea de 20 kV, el primario del transformador será para doble tensión (P1: 20 kV, P2: la tensión de la línea), con conmutador de dos posiciones en la parte superior de la tapa. Una de las tensiones será la de la línea de la Compañía en el momento de montar la que nos ocupa y la otra la normalizada que adopte la compañía suministradora en el futuro.</w:t>
      </w:r>
    </w:p>
    <w:p w:rsidR="00C7085E" w:rsidRDefault="00C7085E" w:rsidP="00B71B1A">
      <w:pPr>
        <w:spacing w:before="120" w:after="240" w:line="276" w:lineRule="auto"/>
        <w:ind w:right="-285"/>
      </w:pPr>
      <w:r>
        <w:t>La regulación en alta (tensión primaria) se realizará con conmutador manual en vacío con tomas más/menos dos y medio por ciento (+/- 2,5%), más/menos cinco por ciento (+/- 5%) y más/menos siete con cinco por ciento (+/- 7,5%). Rango de regulación de tensión en el primario en función de tensión de compañía.</w:t>
      </w:r>
    </w:p>
    <w:p w:rsidR="00C7085E" w:rsidRDefault="00C7085E" w:rsidP="00B71B1A">
      <w:pPr>
        <w:spacing w:before="120" w:after="240" w:line="276" w:lineRule="auto"/>
        <w:ind w:right="-285"/>
        <w:rPr>
          <w:szCs w:val="22"/>
        </w:rPr>
      </w:pPr>
      <w:r>
        <w:rPr>
          <w:szCs w:val="22"/>
        </w:rPr>
        <w:t>Se preverá la posibilidad de modificar esta regulación en función de la posición que ocupe el centro de transformación en la red de la compañía suministradora.</w:t>
      </w:r>
    </w:p>
    <w:p w:rsidR="00C7085E" w:rsidRDefault="00C7085E" w:rsidP="00B71B1A">
      <w:pPr>
        <w:spacing w:before="120" w:after="240" w:line="276" w:lineRule="auto"/>
        <w:ind w:right="-285"/>
        <w:rPr>
          <w:szCs w:val="22"/>
        </w:rPr>
      </w:pPr>
      <w:r>
        <w:rPr>
          <w:szCs w:val="22"/>
        </w:rPr>
        <w:t>Los transformadores con dos tensiones en el arrollamiento de AT, dispondrán de un conmutador de dos posiciones, con mando exterior sobre tapa, debidamente señalizadas. Este dispositivo será de características similares a las descritas para el conmutador de tomas en AT.</w:t>
      </w:r>
    </w:p>
    <w:p w:rsidR="00C7085E" w:rsidRDefault="00C7085E" w:rsidP="00B71B1A">
      <w:pPr>
        <w:spacing w:before="120" w:after="240" w:line="276" w:lineRule="auto"/>
        <w:ind w:right="-285"/>
        <w:rPr>
          <w:szCs w:val="22"/>
        </w:rPr>
      </w:pPr>
      <w:r>
        <w:rPr>
          <w:szCs w:val="22"/>
        </w:rPr>
        <w:t xml:space="preserve">La tensión asignada en vacío del arrollamiento de  BT será: </w:t>
      </w:r>
    </w:p>
    <w:p w:rsidR="00C7085E" w:rsidRDefault="00C7085E" w:rsidP="00B71B1A">
      <w:pPr>
        <w:spacing w:before="120" w:after="240" w:line="276" w:lineRule="auto"/>
        <w:ind w:right="-285"/>
        <w:rPr>
          <w:szCs w:val="22"/>
        </w:rPr>
      </w:pPr>
      <w:r>
        <w:rPr>
          <w:szCs w:val="22"/>
        </w:rPr>
        <w:t xml:space="preserve"> - Clase B2: 420 V entre fases</w:t>
      </w:r>
    </w:p>
    <w:p w:rsidR="00C7085E" w:rsidRDefault="00C7085E" w:rsidP="00B71B1A">
      <w:pPr>
        <w:spacing w:before="120" w:after="240" w:line="276" w:lineRule="auto"/>
        <w:ind w:right="-285"/>
      </w:pPr>
      <w:r>
        <w:rPr>
          <w:szCs w:val="22"/>
        </w:rPr>
        <w:t>El neutro del arrollamiento de BT será accesible y dimensionado para la máxima tensión y corriente de las fases.</w:t>
      </w:r>
    </w:p>
    <w:p w:rsidR="00C7085E" w:rsidRDefault="00C7085E" w:rsidP="00B71B1A">
      <w:pPr>
        <w:keepNext/>
        <w:keepLines/>
        <w:spacing w:before="120" w:after="240" w:line="276" w:lineRule="auto"/>
        <w:ind w:right="-285"/>
      </w:pPr>
      <w:r>
        <w:lastRenderedPageBreak/>
        <w:t>El número de transformadores y su potencia serán los siguientes:</w:t>
      </w:r>
    </w:p>
    <w:p w:rsidR="00C7085E" w:rsidRDefault="00C7085E" w:rsidP="00B71B1A">
      <w:pPr>
        <w:pStyle w:val="Prrafodelista"/>
        <w:keepNext/>
        <w:keepLines/>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Si la potencia punta de consumo es inferior a 100 KVA se instalará un único transformador cuya potencia, como mínimo, será la máxima punta de consumo.</w:t>
      </w:r>
    </w:p>
    <w:p w:rsidR="00C7085E" w:rsidRDefault="00C7085E" w:rsidP="00B71B1A">
      <w:pPr>
        <w:pStyle w:val="Prrafodelista"/>
        <w:keepNext/>
        <w:keepLines/>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Si la potencia punta de consumo está comprendida entre cien (100) y seiscientos treinta (630) KVA., el número de transformadores será dos (2) y la potencia conjunta el doble de la punta de consumo, dejando uno en reserva del otro.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En el caso de que la potencia punta de consumo sea igual o superior a seiscientos treinta (630) KVA., el número de transformadores será tres (3) y la potencia conjunta un cincuenta por ciento (50%) superior a la punta de consumo, dejando uno en reserva de los otros dos.</w:t>
      </w:r>
    </w:p>
    <w:p w:rsidR="00C7085E" w:rsidRDefault="00C7085E" w:rsidP="00B71B1A">
      <w:pPr>
        <w:spacing w:before="120" w:after="240" w:line="276" w:lineRule="auto"/>
        <w:ind w:right="-285"/>
        <w:rPr>
          <w:lang w:val="es-ES_tradnl"/>
        </w:rPr>
      </w:pPr>
      <w:r>
        <w:t>Se emplearán criterios similares para potencias superiores, considerando siempre transformadores con potencias normalizadas.</w:t>
      </w:r>
    </w:p>
    <w:p w:rsidR="00C7085E" w:rsidRDefault="00C7085E" w:rsidP="00B71B1A">
      <w:pPr>
        <w:spacing w:before="120" w:after="240" w:line="276" w:lineRule="auto"/>
        <w:ind w:right="-285"/>
      </w:pPr>
      <w:r>
        <w:t>Si el número y potencia de los transformadores resultantes de la aplicación de los criterios anteriores supera los valores especificados en el vigente Reglamento sobre condiciones técnicas y garantías de seguridad en instalaciones eléctricas de alta tensión y sus Instrucciones Técnicas Complementarias ITC-RAT 01 a 23., se deberá prever la instalación de un sistema fijo automático de extinción de incendios, o en su defecto se instalarán transformadores cuyo dieléctrico tenga una temperatura de combustión elevada, que permita prescindir del sistema automático de extinción.</w:t>
      </w:r>
    </w:p>
    <w:p w:rsidR="00C7085E" w:rsidRDefault="00C7085E" w:rsidP="00B71B1A">
      <w:pPr>
        <w:spacing w:before="120" w:after="240" w:line="276" w:lineRule="auto"/>
        <w:ind w:right="-285"/>
      </w:pPr>
      <w:r>
        <w:t>Se indicarán como mínimo las características siguientes:</w:t>
      </w:r>
    </w:p>
    <w:p w:rsidR="00C7085E" w:rsidRDefault="00C7085E" w:rsidP="00B71B1A">
      <w:pPr>
        <w:pStyle w:val="listaCarCarCarCarCar"/>
        <w:numPr>
          <w:ilvl w:val="0"/>
          <w:numId w:val="13"/>
        </w:numPr>
        <w:spacing w:before="120" w:line="276" w:lineRule="auto"/>
        <w:ind w:right="-285"/>
      </w:pPr>
      <w:r>
        <w:t>Marca</w:t>
      </w:r>
    </w:p>
    <w:p w:rsidR="00C7085E" w:rsidRDefault="00C7085E" w:rsidP="00B71B1A">
      <w:pPr>
        <w:pStyle w:val="listaCarCarCarCarCar"/>
        <w:numPr>
          <w:ilvl w:val="0"/>
          <w:numId w:val="13"/>
        </w:numPr>
        <w:spacing w:before="120" w:line="276" w:lineRule="auto"/>
        <w:ind w:right="-285"/>
      </w:pPr>
      <w:r>
        <w:t>Potencia</w:t>
      </w:r>
    </w:p>
    <w:p w:rsidR="00C7085E" w:rsidRDefault="00C7085E" w:rsidP="00B71B1A">
      <w:pPr>
        <w:pStyle w:val="listaCarCarCarCarCar"/>
        <w:numPr>
          <w:ilvl w:val="0"/>
          <w:numId w:val="13"/>
        </w:numPr>
        <w:spacing w:before="120" w:line="276" w:lineRule="auto"/>
        <w:ind w:right="-285"/>
      </w:pPr>
      <w:r>
        <w:t>Tensión o tensiones primarias</w:t>
      </w:r>
    </w:p>
    <w:p w:rsidR="00C7085E" w:rsidRDefault="00C7085E" w:rsidP="00B71B1A">
      <w:pPr>
        <w:pStyle w:val="listaCarCarCarCarCar"/>
        <w:numPr>
          <w:ilvl w:val="0"/>
          <w:numId w:val="13"/>
        </w:numPr>
        <w:spacing w:before="120" w:line="276" w:lineRule="auto"/>
        <w:ind w:right="-285"/>
      </w:pPr>
      <w:r>
        <w:t>Tensión de cortocircuito</w:t>
      </w:r>
    </w:p>
    <w:p w:rsidR="00C7085E" w:rsidRDefault="00C7085E" w:rsidP="00B71B1A">
      <w:pPr>
        <w:pStyle w:val="listaCarCarCarCarCar"/>
        <w:numPr>
          <w:ilvl w:val="0"/>
          <w:numId w:val="13"/>
        </w:numPr>
        <w:spacing w:before="120" w:line="276" w:lineRule="auto"/>
        <w:ind w:right="-285"/>
      </w:pPr>
      <w:r>
        <w:t>Pérdidas en vacío</w:t>
      </w:r>
    </w:p>
    <w:p w:rsidR="00C7085E" w:rsidRDefault="00C7085E" w:rsidP="00B71B1A">
      <w:pPr>
        <w:pStyle w:val="listaCarCarCarCarCar"/>
        <w:numPr>
          <w:ilvl w:val="0"/>
          <w:numId w:val="13"/>
        </w:numPr>
        <w:spacing w:before="120" w:line="276" w:lineRule="auto"/>
        <w:ind w:right="-285"/>
      </w:pPr>
      <w:r>
        <w:t>Pérdidas totales en carga</w:t>
      </w:r>
    </w:p>
    <w:p w:rsidR="00C7085E" w:rsidRDefault="00C7085E" w:rsidP="00B71B1A">
      <w:pPr>
        <w:pStyle w:val="listaCarCarCarCarCar"/>
        <w:numPr>
          <w:ilvl w:val="0"/>
          <w:numId w:val="13"/>
        </w:numPr>
        <w:spacing w:before="120" w:line="276" w:lineRule="auto"/>
        <w:ind w:right="-285"/>
      </w:pPr>
      <w:r>
        <w:t>Tomas de regulación</w:t>
      </w:r>
    </w:p>
    <w:p w:rsidR="00C7085E" w:rsidRDefault="00C7085E" w:rsidP="00B71B1A">
      <w:pPr>
        <w:pStyle w:val="listaCarCarCarCarCar"/>
        <w:numPr>
          <w:ilvl w:val="0"/>
          <w:numId w:val="13"/>
        </w:numPr>
        <w:spacing w:before="120" w:line="276" w:lineRule="auto"/>
        <w:ind w:right="-285"/>
      </w:pPr>
      <w:r>
        <w:t xml:space="preserve">Placas de características en transformador y en la  puerta de acceso a sala de transformador </w:t>
      </w:r>
    </w:p>
    <w:p w:rsidR="00C7085E" w:rsidRDefault="00C7085E" w:rsidP="00B71B1A">
      <w:pPr>
        <w:keepNext/>
        <w:keepLines/>
        <w:spacing w:before="120" w:after="240" w:line="276" w:lineRule="auto"/>
        <w:ind w:right="-285"/>
      </w:pPr>
      <w:r>
        <w:t>En el Proyecto se incluirán, además, las siguientes características:</w:t>
      </w:r>
    </w:p>
    <w:p w:rsidR="00C7085E" w:rsidRDefault="00C7085E" w:rsidP="00B71B1A">
      <w:pPr>
        <w:pStyle w:val="Prrafodelista"/>
        <w:keepNext/>
        <w:keepLines/>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Calentamiento máximo en bobinas con temperatura ambiente de cuarenta grados centígrados (40º C).</w:t>
      </w:r>
    </w:p>
    <w:p w:rsidR="00C7085E" w:rsidRDefault="00C7085E" w:rsidP="00B71B1A">
      <w:pPr>
        <w:pStyle w:val="Prrafodelista"/>
        <w:numPr>
          <w:ilvl w:val="0"/>
          <w:numId w:val="13"/>
        </w:numPr>
        <w:suppressAutoHyphens w:val="0"/>
        <w:autoSpaceDE w:val="0"/>
        <w:autoSpaceDN w:val="0"/>
        <w:adjustRightInd w:val="0"/>
        <w:spacing w:before="120" w:after="240"/>
        <w:ind w:right="-285"/>
        <w:rPr>
          <w:rFonts w:ascii="Arial" w:hAnsi="Arial" w:cs="Arial"/>
          <w:lang w:val="es-ES_tradnl"/>
        </w:rPr>
      </w:pPr>
      <w:r>
        <w:rPr>
          <w:rFonts w:ascii="Arial" w:hAnsi="Arial" w:cs="Arial"/>
          <w:lang w:val="es-ES_tradnl"/>
        </w:rPr>
        <w:t>Curvas de rendimiento.</w:t>
      </w:r>
    </w:p>
    <w:p w:rsidR="00C7085E" w:rsidRDefault="00C7085E" w:rsidP="00B71B1A">
      <w:pPr>
        <w:spacing w:before="120" w:after="240" w:line="276" w:lineRule="auto"/>
        <w:ind w:right="-285"/>
        <w:rPr>
          <w:lang w:val="es-ES_tradnl"/>
        </w:rPr>
      </w:pPr>
      <w:r>
        <w:lastRenderedPageBreak/>
        <w:t xml:space="preserve">Se dotará a los transformadores de un detector integrador de seguridad con las siguientes protecciones: disparo por nivel de dieléctrico, disparo de presión, alarma de temperatura y disparo de temperatura. También contará con visualizador de nivel y alarma por emisión de gases del líquido dieléctrico. También contará con visualizador de nivel y se prestará especial atención en  su colocación y orientación, para que la instrumentación sea visible desde el exterior de la sala del transformador. </w:t>
      </w:r>
    </w:p>
    <w:p w:rsidR="00C7085E" w:rsidRDefault="00C7085E" w:rsidP="00B71B1A">
      <w:pPr>
        <w:spacing w:before="120" w:after="240" w:line="276" w:lineRule="auto"/>
        <w:ind w:right="-285"/>
      </w:pPr>
      <w:r>
        <w:t>Para el dimensionamiento de los transformadores y con objeto de prever la sobrecarga por armónicos, la potencia de las cargas con variadores de frecuencia, así como la potencia de las lámparas de descarga, se incrementará en un quince por ciento (15%) en el cómputo total de la máxima potencia simultánea. La carga informática se incrementará en un cincuenta por ciento (50%).</w:t>
      </w:r>
    </w:p>
    <w:p w:rsidR="00C7085E" w:rsidRDefault="00C7085E" w:rsidP="00B71B1A">
      <w:pPr>
        <w:spacing w:before="120" w:after="240" w:line="276" w:lineRule="auto"/>
        <w:ind w:right="-285"/>
      </w:pPr>
      <w:r>
        <w:t>Se estudiará con suma atención el enclavamiento tanto eléctrico como mecánico entre el interruptor-seccionador en alta tensión y el interruptor automático de baja tensión de cada uno de los transformadores así como las defensas de estos, con el fin de impedir retornos al estar conectados en paralelo, o el acceso a su cubículo.</w:t>
      </w:r>
    </w:p>
    <w:p w:rsidR="00C7085E" w:rsidRDefault="00C7085E" w:rsidP="00B71B1A">
      <w:pPr>
        <w:spacing w:before="120" w:after="240" w:line="276" w:lineRule="auto"/>
        <w:ind w:right="-285"/>
      </w:pPr>
      <w:r>
        <w:t>Los interruptores-seccionadores podrán conectarse y desconectarse desde su emplazamiento y desde el cuadro general de distribución en baja tensión.</w:t>
      </w:r>
    </w:p>
    <w:p w:rsidR="00C7085E" w:rsidRDefault="00C7085E" w:rsidP="00B71B1A">
      <w:pPr>
        <w:spacing w:before="120" w:after="240" w:line="276" w:lineRule="auto"/>
        <w:ind w:right="-285"/>
      </w:pPr>
      <w:r>
        <w:t>Todos los elementos de protección y control deberán poderse verificar en servicio y sin riesgos para el personal.</w:t>
      </w:r>
    </w:p>
    <w:p w:rsidR="00C7085E" w:rsidRDefault="00C7085E" w:rsidP="00B71B1A">
      <w:pPr>
        <w:spacing w:before="120" w:after="240" w:line="276" w:lineRule="auto"/>
        <w:ind w:right="-285"/>
      </w:pPr>
      <w:r>
        <w:t>Se dotará a cada uno de los transformadores de potencia, de unos transformadores de intensidad en las salidas de baja tensión tanto de las fases como el neutro y el aterrizaje de este.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Las operaciones necesarias para el traslado del transformador hasta su posición definitiva, se realizará aplicando la tracción necesaria por medio de mecanismos apropiados (tractores, polipastos, etc.)</w:t>
      </w:r>
    </w:p>
    <w:p w:rsidR="00C7085E" w:rsidRDefault="00C7085E" w:rsidP="00B71B1A">
      <w:pPr>
        <w:spacing w:before="120" w:after="240" w:line="276" w:lineRule="auto"/>
        <w:ind w:right="-285"/>
      </w:pPr>
      <w:r>
        <w:t>La orientación de las ruedas se realizará elevando el transformador con gatos hidráulicos apropiados; se utilizarán barras de uña, barrones, etc., únicamente como medios auxiliares.</w:t>
      </w:r>
    </w:p>
    <w:p w:rsidR="00C7085E" w:rsidRDefault="00C7085E" w:rsidP="00B71B1A">
      <w:pPr>
        <w:spacing w:before="120" w:after="240" w:line="276" w:lineRule="auto"/>
        <w:ind w:right="-285"/>
      </w:pPr>
      <w:r>
        <w:t>Los elementos de protección deben ser visibles desde el exterior de las salas de los transformadores.</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keepNext/>
        <w:spacing w:before="120" w:after="240" w:line="276" w:lineRule="auto"/>
        <w:ind w:right="-285"/>
      </w:pPr>
      <w:r>
        <w:t>Los ensayos a realizar en los transformadores estarán de acuerdo a las normas UNE-EN 60076.</w:t>
      </w:r>
    </w:p>
    <w:p w:rsidR="00C7085E" w:rsidRDefault="00C7085E" w:rsidP="00B71B1A">
      <w:pPr>
        <w:spacing w:before="120" w:after="240" w:line="276" w:lineRule="auto"/>
        <w:ind w:right="-285"/>
      </w:pPr>
      <w:r>
        <w:t xml:space="preserve">El fabricante expedirá certificado de las pruebas que serán presenciadas por la inspección del adjudicatario. Así mismo, expedirá certificado de los materiales de los </w:t>
      </w:r>
      <w:r>
        <w:lastRenderedPageBreak/>
        <w:t>distintos componentes del equipo.</w:t>
      </w:r>
    </w:p>
    <w:p w:rsidR="00C7085E" w:rsidRDefault="00C7085E" w:rsidP="00B71B1A">
      <w:pPr>
        <w:spacing w:before="120" w:after="240" w:line="276" w:lineRule="auto"/>
        <w:ind w:right="-285"/>
      </w:pPr>
      <w:r>
        <w:t>Los ensayos mínimos unitarios a realizar serán:</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Relación de transformación en vacío.</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Pérdidas en el hierro.</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Pérdidas en los arrollamientos.</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Aislamiento de los arrollamientos entre sí y de éstos a la masa.</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Sobretensión.</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Tensión de cortocircuito.</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Tensión aplicada</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Tensión inducida</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Resistencia de devanados.</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Tangente de delta</w:t>
      </w:r>
    </w:p>
    <w:p w:rsidR="00C7085E" w:rsidRDefault="00C7085E" w:rsidP="00B71B1A">
      <w:pPr>
        <w:spacing w:before="120" w:after="240" w:line="276" w:lineRule="auto"/>
        <w:ind w:right="-285"/>
      </w:pPr>
      <w:r>
        <w:t xml:space="preserve">Adicionalmente, se realizará a uno de cada tipo de transformador los siguientes ensayos: </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Calentamiento</w:t>
      </w:r>
    </w:p>
    <w:p w:rsidR="00C7085E" w:rsidRDefault="00C7085E" w:rsidP="00B71B1A">
      <w:pPr>
        <w:pStyle w:val="Prrafodelista"/>
        <w:numPr>
          <w:ilvl w:val="0"/>
          <w:numId w:val="8"/>
        </w:numPr>
        <w:suppressAutoHyphens w:val="0"/>
        <w:autoSpaceDE w:val="0"/>
        <w:autoSpaceDN w:val="0"/>
        <w:adjustRightInd w:val="0"/>
        <w:spacing w:before="120" w:after="240"/>
        <w:ind w:left="714" w:right="-285" w:hanging="357"/>
        <w:rPr>
          <w:rFonts w:ascii="Arial" w:hAnsi="Arial" w:cs="Arial"/>
        </w:rPr>
      </w:pPr>
      <w:r>
        <w:rPr>
          <w:rFonts w:ascii="Arial" w:hAnsi="Arial" w:cs="Arial"/>
        </w:rPr>
        <w:t>Impulso tipo rayo</w:t>
      </w:r>
    </w:p>
    <w:p w:rsidR="00C7085E" w:rsidRDefault="00C7085E" w:rsidP="00B71B1A">
      <w:pPr>
        <w:spacing w:before="120" w:after="240" w:line="276" w:lineRule="auto"/>
        <w:ind w:right="-285"/>
      </w:pPr>
      <w:r>
        <w:t>Tras el montaje se realizará una inspección visual de posible daño sufrido en transporte, el control de nivel de líquidos en el depósito de expansión y la revisión con Megger de la resistencia entre bobinado y entre éstos y masa y el ensayo de Respuesta en frecuencia unitarios (FRA).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transformadores de potencia se abonaran por unidad (ud), en función de sus características, por aplicación del precio que corresponda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779" w:name="_Toc414022100"/>
      <w:bookmarkStart w:id="780" w:name="_Toc448741498"/>
      <w:r>
        <w:t>Suministro de alimentación segura (Fuente de alimentación segura)</w:t>
      </w:r>
      <w:bookmarkEnd w:id="778"/>
      <w:bookmarkEnd w:id="779"/>
      <w:bookmarkEnd w:id="780"/>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spacing w:before="120" w:after="240" w:line="276" w:lineRule="auto"/>
        <w:ind w:right="-285"/>
        <w:rPr>
          <w:rFonts w:eastAsia="Calibri"/>
          <w:lang w:eastAsia="en-US"/>
        </w:rPr>
      </w:pPr>
      <w:r>
        <w:t>Para el accionamiento eléctrico de los disyuntores y para los circuitos de maniobra de los equipos de alta tensión,</w:t>
      </w:r>
      <w:r>
        <w:rPr>
          <w:rFonts w:eastAsia="Calibri"/>
          <w:lang w:eastAsia="en-US"/>
        </w:rPr>
        <w:t xml:space="preserve"> así como los relés de las celdas, se dispondrá un equipo específico que garantizará el suministro de energía a los mismos. Este equipo estará compuesto por:</w:t>
      </w:r>
    </w:p>
    <w:p w:rsidR="00C7085E" w:rsidRDefault="00C7085E" w:rsidP="00B71B1A">
      <w:pPr>
        <w:pStyle w:val="Prrafodelista"/>
        <w:numPr>
          <w:ilvl w:val="0"/>
          <w:numId w:val="8"/>
        </w:numPr>
        <w:autoSpaceDE w:val="0"/>
        <w:autoSpaceDN w:val="0"/>
        <w:adjustRightInd w:val="0"/>
        <w:spacing w:before="120" w:after="240"/>
        <w:ind w:left="714" w:right="-285" w:hanging="357"/>
        <w:rPr>
          <w:rFonts w:ascii="Arial" w:hAnsi="Arial" w:cs="Arial"/>
        </w:rPr>
      </w:pPr>
      <w:r>
        <w:rPr>
          <w:rFonts w:ascii="Arial" w:hAnsi="Arial" w:cs="Arial"/>
        </w:rPr>
        <w:t>Un sistema de baterías de cadmio-níquel con capacidad mínima de soportar una carga de doscientos cincuenta vatios (250 W) durante cuarenta y ocho horas o una carga de uno con cinco kilovatios (1,5 kW) durante ocho horas de autonomía.</w:t>
      </w:r>
    </w:p>
    <w:p w:rsidR="00C7085E" w:rsidRDefault="00C7085E" w:rsidP="00B71B1A">
      <w:pPr>
        <w:pStyle w:val="Prrafodelista"/>
        <w:numPr>
          <w:ilvl w:val="0"/>
          <w:numId w:val="8"/>
        </w:numPr>
        <w:autoSpaceDE w:val="0"/>
        <w:autoSpaceDN w:val="0"/>
        <w:adjustRightInd w:val="0"/>
        <w:spacing w:before="120" w:after="240"/>
        <w:ind w:left="714" w:right="-285" w:hanging="357"/>
        <w:rPr>
          <w:rFonts w:ascii="Arial" w:hAnsi="Arial" w:cs="Arial"/>
        </w:rPr>
      </w:pPr>
      <w:r>
        <w:rPr>
          <w:rFonts w:ascii="Arial" w:hAnsi="Arial" w:cs="Arial"/>
        </w:rPr>
        <w:t>Dos rectificadores, ambos en sistema redundante, con una tensión de salida de  cuarenta y ocho voltios de corriente continua (48 VCC).</w:t>
      </w:r>
    </w:p>
    <w:p w:rsidR="00C7085E" w:rsidRDefault="00C7085E" w:rsidP="00B71B1A">
      <w:pPr>
        <w:pStyle w:val="Prrafodelista"/>
        <w:numPr>
          <w:ilvl w:val="0"/>
          <w:numId w:val="8"/>
        </w:numPr>
        <w:autoSpaceDE w:val="0"/>
        <w:autoSpaceDN w:val="0"/>
        <w:adjustRightInd w:val="0"/>
        <w:spacing w:before="120" w:after="240"/>
        <w:ind w:left="714" w:right="-285" w:hanging="357"/>
        <w:rPr>
          <w:rFonts w:ascii="Arial" w:hAnsi="Arial" w:cs="Arial"/>
        </w:rPr>
      </w:pPr>
      <w:r>
        <w:rPr>
          <w:rFonts w:ascii="Arial" w:hAnsi="Arial" w:cs="Arial"/>
        </w:rPr>
        <w:lastRenderedPageBreak/>
        <w:t>Dos inversores, ambos en sistema  redundante, con una tensión de salida de doscientos treinta voltios de corriente alterna (230 VAC).</w:t>
      </w:r>
    </w:p>
    <w:p w:rsidR="00C7085E" w:rsidRDefault="00C7085E" w:rsidP="00B71B1A">
      <w:pPr>
        <w:pStyle w:val="Prrafodelista"/>
        <w:numPr>
          <w:ilvl w:val="0"/>
          <w:numId w:val="8"/>
        </w:numPr>
        <w:autoSpaceDE w:val="0"/>
        <w:autoSpaceDN w:val="0"/>
        <w:adjustRightInd w:val="0"/>
        <w:spacing w:before="120" w:after="240"/>
        <w:ind w:left="714" w:right="-285" w:hanging="357"/>
        <w:rPr>
          <w:rFonts w:ascii="Arial" w:hAnsi="Arial" w:cs="Arial"/>
        </w:rPr>
      </w:pPr>
      <w:r>
        <w:rPr>
          <w:rFonts w:ascii="Arial" w:hAnsi="Arial" w:cs="Arial"/>
        </w:rPr>
        <w:t>Un módulo de control, con tecnología de microprocesador de última generación, Medidas de funcionamiento, VCA de entrada y VCC de salida por cada módulo rectificador, de VCC y corriente de batería, capacidad de batería, VCC de entrada y VAC de salida de cada módulo inversor.</w:t>
      </w:r>
    </w:p>
    <w:p w:rsidR="00C7085E" w:rsidRDefault="00C7085E" w:rsidP="00B71B1A">
      <w:pPr>
        <w:spacing w:before="120" w:after="240" w:line="276" w:lineRule="auto"/>
        <w:ind w:right="-285"/>
      </w:pPr>
      <w:r>
        <w:t>En caso de avería del módulo de control, los módulos rectificadores y módulos inversores  seguirán funcionando en modo autónomo, pasando a modo emergencia al régimen de carga de flotación, dando la pertinente alarma de módulo de control mediante señalización remota.</w:t>
      </w:r>
    </w:p>
    <w:p w:rsidR="00A9273B" w:rsidRDefault="00C7085E" w:rsidP="0032619C">
      <w:pPr>
        <w:spacing w:before="120" w:after="240" w:line="276" w:lineRule="auto"/>
        <w:ind w:right="-285"/>
        <w:rPr>
          <w:b/>
          <w:bCs/>
          <w:szCs w:val="28"/>
        </w:rPr>
      </w:pPr>
      <w:r>
        <w:t>Cuando el rectificador o inversor en servicio presente alguna anomalía, automáticamente se producirá la desconexión de éste y la conexión del rectificador o inversor en reserva, señalizándose esta anomalía en el panel de control o cuadro de mando.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Las fuentes de alimentación se corresponden en cuanto a sus funciones a lo especificado en el proyecto correspondiente.</w:t>
      </w:r>
    </w:p>
    <w:p w:rsidR="00C7085E" w:rsidRDefault="00C7085E" w:rsidP="00B71B1A">
      <w:pPr>
        <w:spacing w:before="120" w:after="240" w:line="276" w:lineRule="auto"/>
        <w:ind w:right="-285"/>
      </w:pPr>
      <w:r>
        <w:t>Las fuentes de alimentación se situarán en los lugares y en el orden indicado en los planos del proyecto.</w:t>
      </w:r>
    </w:p>
    <w:p w:rsidR="00C7085E" w:rsidRDefault="00C7085E" w:rsidP="00B71B1A">
      <w:pPr>
        <w:pStyle w:val="Textocomentario"/>
        <w:spacing w:after="240" w:line="276" w:lineRule="auto"/>
        <w:ind w:right="-285"/>
        <w:rPr>
          <w:sz w:val="22"/>
        </w:rPr>
      </w:pPr>
      <w:r>
        <w:rPr>
          <w:sz w:val="22"/>
        </w:rPr>
        <w:t>Envolvente con un grado de protección IP54. Su color será RAL 1028 o el que en su día determine Canal de Isabel II Gestión.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Se comprobara que su funcionamiento se corresponde con lo especificado en el proyecto.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bookmarkStart w:id="781" w:name="_Toc392586270"/>
      <w:r>
        <w:t xml:space="preserve">Las fuentes de alimentación segura se abonarán de acuerdo al precio que corresponda de los que figuren en el </w:t>
      </w:r>
      <w:bookmarkStart w:id="782" w:name="_Toc414022101"/>
      <w:r>
        <w:t>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783" w:name="_Toc448741499"/>
      <w:r>
        <w:t>Cuadro de señalización y alarmas</w:t>
      </w:r>
      <w:bookmarkEnd w:id="781"/>
      <w:bookmarkEnd w:id="782"/>
      <w:bookmarkEnd w:id="783"/>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spacing w:before="120" w:after="240" w:line="276" w:lineRule="auto"/>
        <w:ind w:right="-285"/>
      </w:pPr>
      <w:r>
        <w:t>La instalación dispondrá de un cuadro de señalización y alarmas que indiquen el estado y defecto de las protecciones y los interruptores generales de Alta y Baja Tensión, y el disparo de las protecciones propias de los transformadores de potencia, con dispositivo de prueba de lámparas. Estará alimentado mediante fuente de alimentación segura de alterna, mencionado anteriormente.</w:t>
      </w:r>
    </w:p>
    <w:p w:rsidR="00C7085E" w:rsidRDefault="00C7085E" w:rsidP="00B71B1A">
      <w:pPr>
        <w:spacing w:before="120" w:after="240" w:line="276" w:lineRule="auto"/>
        <w:ind w:right="-285"/>
      </w:pPr>
      <w:r>
        <w:t>Todas las alarmas descritas en este apartado se deben incluir en el sistema de control, para lo que será necesario añadir las entradas digitales necesarias en el PLC.</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Ejecución</w:t>
      </w:r>
    </w:p>
    <w:p w:rsidR="00C7085E" w:rsidRDefault="00C7085E" w:rsidP="00B71B1A">
      <w:pPr>
        <w:spacing w:before="120" w:after="240" w:line="276" w:lineRule="auto"/>
        <w:ind w:right="-285"/>
      </w:pPr>
      <w:r>
        <w:t>El diseño eléctrico de los circuitos y las diferentes configuraciones serán determinados por Canal de Isabel II Gestión en sus esquemas eléctricos tipos.</w:t>
      </w:r>
    </w:p>
    <w:p w:rsidR="00A9273B" w:rsidRDefault="00C7085E" w:rsidP="0032619C">
      <w:pPr>
        <w:spacing w:before="120" w:after="240" w:line="276" w:lineRule="auto"/>
        <w:ind w:right="-285"/>
        <w:rPr>
          <w:b/>
          <w:bCs/>
          <w:szCs w:val="28"/>
        </w:rPr>
      </w:pPr>
      <w:r>
        <w:t>Los cuadros se situarán en los lugares y en el orden indicado en los planos del proyecto.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Se comprobará que su funcionamiento se corresponde con lo especificado en el proyecto.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bookmarkStart w:id="784" w:name="_Toc392586271"/>
      <w:r>
        <w:t xml:space="preserve">Los cuadros de señalización y alarmas se abonarán de acuerdo al precio que corresponda de los que figuren en el </w:t>
      </w:r>
      <w:bookmarkStart w:id="785" w:name="_Toc414022103"/>
      <w:r>
        <w:t>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786" w:name="_Toc448741500"/>
      <w:r>
        <w:t>Instalación de puesta a tierra</w:t>
      </w:r>
      <w:bookmarkEnd w:id="784"/>
      <w:bookmarkEnd w:id="785"/>
      <w:bookmarkEnd w:id="786"/>
    </w:p>
    <w:p w:rsidR="00C7085E" w:rsidRDefault="00C7085E" w:rsidP="00B71B1A">
      <w:pPr>
        <w:spacing w:before="120" w:after="240" w:line="276" w:lineRule="auto"/>
        <w:ind w:right="-285"/>
      </w:pPr>
      <w:r>
        <w:t xml:space="preserve">Se ejecutará de acuerdo con la instrucción técnica complementaria MIE-RAT 13 del vigente Reglamento sobre condiciones técnicas y garantías de seguridad en instalaciones eléctricas de alta tensión y sus Instrucciones Técnicas Complementarias ITC-RAT 01 a 23. También cumplirá con lo prescrito en el capítulo 11 de la Instrucción Técnica Complementaria ITC-BT-18 del Reglamento Electrotécnico para Baja Tensión aprobado por Real Decreto 842/2002. </w:t>
      </w:r>
    </w:p>
    <w:p w:rsidR="00C7085E" w:rsidRDefault="00C7085E" w:rsidP="00B71B1A">
      <w:pPr>
        <w:spacing w:before="120" w:after="240" w:line="276" w:lineRule="auto"/>
        <w:ind w:right="-285"/>
      </w:pPr>
      <w:r>
        <w:t>La puesta a tierra de masas del centro se dejará preparada para poder unirla en su día, si se estima conveniente, con la red general de tierras del conjunto de la instalación.</w:t>
      </w:r>
    </w:p>
    <w:p w:rsidR="00C7085E" w:rsidRDefault="00C7085E" w:rsidP="00B71B1A">
      <w:pPr>
        <w:spacing w:before="120" w:after="240" w:line="276" w:lineRule="auto"/>
        <w:ind w:right="-285"/>
      </w:pPr>
      <w:r>
        <w:t>La puesta a tierra de protección se diseñara de acuerdo a la ET3504 a fin de garantizar mejor la seguridad de las personas e instalaciones en caso de defecto en alta tensión. El diseño de las tierras se deberá ajustar escrupulosamente a lo establecido en las correspondientes fichas técnicas de Canal de Isabel II Gestión.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spacing w:before="120" w:after="240" w:line="276" w:lineRule="auto"/>
        <w:ind w:right="-285"/>
      </w:pPr>
      <w:r>
        <w:t>Hay que distinguir entre la línea de tierra de la PaT de Protección y la línea de tierra de PaT de Servicio (neutro).</w:t>
      </w:r>
    </w:p>
    <w:p w:rsidR="00C7085E" w:rsidRDefault="00C7085E" w:rsidP="00B71B1A">
      <w:pPr>
        <w:spacing w:before="120" w:after="240" w:line="276" w:lineRule="auto"/>
        <w:ind w:right="-285"/>
        <w:rPr>
          <w:szCs w:val="22"/>
        </w:rPr>
      </w:pPr>
      <w:r>
        <w:rPr>
          <w:szCs w:val="22"/>
        </w:rPr>
        <w:t xml:space="preserve">A la línea de tierra de PaT de Protección se deberán conectar los siguientes elementos: </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 xml:space="preserve">Cuba de transformador/res </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 xml:space="preserve">Envolvente metálica del cuadro B.T. </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 xml:space="preserve">Celda de alta tensión (en dos puntos) </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Pantalla del cable aislado, extremos conexión transformador</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lastRenderedPageBreak/>
        <w:t>Elementos de derivación a tierra de los seccionadores de puesta a tierra y pantalla de separación de los circuitos primario y secundario de los transformadores de medida o protección.</w:t>
      </w:r>
    </w:p>
    <w:p w:rsidR="00C7085E" w:rsidRDefault="00C7085E" w:rsidP="00B71B1A">
      <w:pPr>
        <w:spacing w:before="120" w:after="240" w:line="276" w:lineRule="auto"/>
        <w:ind w:right="-285"/>
        <w:rPr>
          <w:szCs w:val="22"/>
          <w:lang w:val="es-ES_tradnl"/>
        </w:rPr>
      </w:pPr>
      <w:r>
        <w:rPr>
          <w:szCs w:val="22"/>
        </w:rPr>
        <w:t>Todo ello conforme a la legislación vigente.</w:t>
      </w:r>
    </w:p>
    <w:p w:rsidR="00C7085E" w:rsidRDefault="00C7085E" w:rsidP="00B71B1A">
      <w:pPr>
        <w:spacing w:before="120" w:after="240" w:line="276" w:lineRule="auto"/>
        <w:ind w:right="-285"/>
        <w:rPr>
          <w:szCs w:val="22"/>
        </w:rPr>
      </w:pPr>
      <w:r>
        <w:rPr>
          <w:szCs w:val="22"/>
        </w:rPr>
        <w:t>A la línea de tierra de PaT de Servicio (neutro), se le conectará la salida del neutro del cuadro de B.T.</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szCs w:val="20"/>
        </w:rPr>
      </w:pPr>
      <w:r>
        <w:t>Ejecución</w:t>
      </w:r>
    </w:p>
    <w:p w:rsidR="00C7085E" w:rsidRDefault="00C7085E" w:rsidP="00B71B1A">
      <w:pPr>
        <w:spacing w:before="120" w:after="240" w:line="276" w:lineRule="auto"/>
        <w:ind w:right="-285"/>
        <w:rPr>
          <w:szCs w:val="22"/>
        </w:rPr>
      </w:pPr>
      <w:proofErr w:type="gramStart"/>
      <w:r>
        <w:rPr>
          <w:szCs w:val="22"/>
        </w:rPr>
        <w:t>Las PaT</w:t>
      </w:r>
      <w:proofErr w:type="gramEnd"/>
      <w:r>
        <w:rPr>
          <w:szCs w:val="22"/>
        </w:rPr>
        <w:t xml:space="preserve"> de Protección y Servicio (neutro) se establecerán separadas, salvo justificación.</w:t>
      </w:r>
    </w:p>
    <w:p w:rsidR="00C7085E" w:rsidRDefault="00C7085E" w:rsidP="00B71B1A">
      <w:pPr>
        <w:spacing w:before="120" w:after="240" w:line="276" w:lineRule="auto"/>
        <w:ind w:right="-285"/>
        <w:rPr>
          <w:szCs w:val="22"/>
        </w:rPr>
      </w:pPr>
      <w:r>
        <w:rPr>
          <w:szCs w:val="22"/>
        </w:rPr>
        <w:t>Para acometer la tarea de seleccionar el electrodo de PaT es necesario el conocimiento del valor numérico de la resistividad del terreno, pues de ella dependerán tanto la resistencia de difusión a tierra como la distribución de potenciales en el terreno, y como consecuencia las tensiones de paso y contacto resultante en la instalación.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szCs w:val="20"/>
        </w:rPr>
      </w:pPr>
      <w:r>
        <w:t>Control de calidad</w:t>
      </w:r>
    </w:p>
    <w:p w:rsidR="00C7085E" w:rsidRDefault="00C7085E" w:rsidP="00B71B1A">
      <w:pPr>
        <w:spacing w:before="120" w:after="240" w:line="276" w:lineRule="auto"/>
        <w:ind w:right="-285"/>
      </w:pPr>
      <w:r>
        <w:t>Las verificaciones previas a la puesta en servicio de las instalaciones deberán ser de acuerdo a la legislación vigente; ensayos instalaciones de puesta a tierra: medida de resistencia de puesta a tierra y comprobaciones de tensiones de paso.</w:t>
      </w:r>
    </w:p>
    <w:p w:rsidR="00C7085E" w:rsidRDefault="00C7085E" w:rsidP="00B71B1A">
      <w:pPr>
        <w:spacing w:before="120" w:after="240" w:line="276" w:lineRule="auto"/>
        <w:ind w:right="-285"/>
        <w:rPr>
          <w:szCs w:val="22"/>
        </w:rPr>
      </w:pPr>
      <w:r>
        <w:t>La conexión de los distintos elementos a la línea de tierra de protección, el tipo del conductor de la línea de tierra y su sección es la especificada en el proyecto, de la misma forma se hará lo mismo para la conexión de la salida del neutro del cuadro de BT a la línea de tierra de servicios.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szCs w:val="20"/>
        </w:rPr>
      </w:pPr>
      <w:r>
        <w:t>Medición y abono</w:t>
      </w:r>
    </w:p>
    <w:p w:rsidR="00C7085E" w:rsidRDefault="00C7085E" w:rsidP="00B71B1A">
      <w:pPr>
        <w:spacing w:before="120" w:after="240" w:line="276" w:lineRule="auto"/>
        <w:ind w:right="-285"/>
      </w:pPr>
      <w:r>
        <w:t>Las tomas de tierra se abonaran por unidad (ud), en función de sus características, por aplicación del precio correspondiente de los que figuren en el Cuadro de Precios vigente de Canal de Isabel II Gestión.</w:t>
      </w:r>
    </w:p>
    <w:p w:rsidR="00C7085E" w:rsidRPr="00894B2B" w:rsidRDefault="0008036A" w:rsidP="00B71B1A">
      <w:pPr>
        <w:pStyle w:val="Ttulo2"/>
        <w:numPr>
          <w:ilvl w:val="1"/>
          <w:numId w:val="5"/>
        </w:numPr>
        <w:snapToGrid/>
        <w:spacing w:before="400" w:after="400" w:line="276" w:lineRule="auto"/>
        <w:ind w:left="0" w:right="-285"/>
        <w:rPr>
          <w:caps w:val="0"/>
        </w:rPr>
      </w:pPr>
      <w:bookmarkStart w:id="787" w:name="_Toc414022104"/>
      <w:bookmarkStart w:id="788" w:name="_Toc392586273"/>
      <w:bookmarkStart w:id="789" w:name="_Toc448741501"/>
      <w:r w:rsidRPr="0008036A">
        <w:rPr>
          <w:caps w:val="0"/>
        </w:rPr>
        <w:t>BAJA TENSIÓN</w:t>
      </w:r>
      <w:bookmarkEnd w:id="787"/>
      <w:bookmarkEnd w:id="788"/>
      <w:bookmarkEnd w:id="789"/>
    </w:p>
    <w:p w:rsidR="00C7085E" w:rsidRDefault="00C7085E" w:rsidP="00B71B1A">
      <w:pPr>
        <w:spacing w:before="120" w:after="240" w:line="276" w:lineRule="auto"/>
        <w:ind w:right="-285"/>
        <w:rPr>
          <w:rFonts w:cs="Arial"/>
          <w:szCs w:val="22"/>
        </w:rPr>
      </w:pPr>
      <w:r>
        <w:rPr>
          <w:rFonts w:cs="Arial"/>
        </w:rPr>
        <w:t>En caso de que la parcela disponga de suministro eléctrico en Baja Tensión, la instalación comenzará en el Armario de Protección y Medida, el cual estará ubicado en fachada junto al acceso principal.</w:t>
      </w:r>
      <w:r>
        <w:rPr>
          <w:rFonts w:cs="Arial"/>
          <w:szCs w:val="22"/>
        </w:rPr>
        <w:t xml:space="preserve"> </w:t>
      </w:r>
    </w:p>
    <w:p w:rsidR="00C7085E" w:rsidRDefault="00C7085E" w:rsidP="00B71B1A">
      <w:pPr>
        <w:spacing w:before="120" w:after="240" w:line="276" w:lineRule="auto"/>
        <w:ind w:right="-285"/>
        <w:rPr>
          <w:rFonts w:cs="Arial"/>
          <w:szCs w:val="22"/>
        </w:rPr>
      </w:pPr>
      <w:r>
        <w:rPr>
          <w:rFonts w:cs="Arial"/>
          <w:szCs w:val="22"/>
        </w:rPr>
        <w:t>En caso de realizarse la medida en Alta Tensión, la instalación comenzará en el cuadro de Baja Tensión del Centro de Transformación.</w:t>
      </w:r>
    </w:p>
    <w:p w:rsidR="00C7085E" w:rsidRDefault="00C7085E" w:rsidP="00B71B1A">
      <w:pPr>
        <w:spacing w:before="120" w:after="240" w:line="276" w:lineRule="auto"/>
        <w:ind w:right="-285"/>
        <w:rPr>
          <w:rFonts w:cs="Arial"/>
        </w:rPr>
      </w:pPr>
      <w:r>
        <w:rPr>
          <w:rFonts w:cs="Arial"/>
        </w:rPr>
        <w:t>Comprende la parte de la instalación comprendida entre las bornes de baja tensión y los distintos elementos a accionar, motores, etc.</w:t>
      </w:r>
    </w:p>
    <w:p w:rsidR="00C7085E" w:rsidRDefault="00C7085E" w:rsidP="00B71B1A">
      <w:pPr>
        <w:pStyle w:val="Ttulo3"/>
        <w:widowControl/>
        <w:numPr>
          <w:ilvl w:val="2"/>
          <w:numId w:val="5"/>
        </w:numPr>
        <w:tabs>
          <w:tab w:val="left" w:pos="567"/>
        </w:tabs>
        <w:suppressAutoHyphens/>
        <w:snapToGrid w:val="0"/>
        <w:spacing w:before="120" w:after="240" w:line="276" w:lineRule="auto"/>
        <w:ind w:left="1701" w:right="-285" w:hanging="1701"/>
        <w:rPr>
          <w:rFonts w:cs="Arial Negrita"/>
        </w:rPr>
      </w:pPr>
      <w:bookmarkStart w:id="790" w:name="_Toc414022105"/>
      <w:bookmarkStart w:id="791" w:name="_Ref403739090"/>
      <w:bookmarkStart w:id="792" w:name="_Ref403567546"/>
      <w:bookmarkStart w:id="793" w:name="_Ref403567534"/>
      <w:bookmarkStart w:id="794" w:name="_Toc392586274"/>
      <w:bookmarkStart w:id="795" w:name="_Ref423006094"/>
      <w:bookmarkStart w:id="796" w:name="_Ref423006088"/>
      <w:bookmarkStart w:id="797" w:name="_Toc448741502"/>
      <w:r>
        <w:lastRenderedPageBreak/>
        <w:t>Cuadro General de Distribución</w:t>
      </w:r>
      <w:bookmarkEnd w:id="790"/>
      <w:bookmarkEnd w:id="791"/>
      <w:bookmarkEnd w:id="792"/>
      <w:bookmarkEnd w:id="793"/>
      <w:bookmarkEnd w:id="794"/>
      <w:r>
        <w:t xml:space="preserve"> de Baja Tensión (CGDBT)</w:t>
      </w:r>
      <w:bookmarkEnd w:id="795"/>
      <w:bookmarkEnd w:id="796"/>
      <w:bookmarkEnd w:id="797"/>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Características generales</w:t>
      </w:r>
    </w:p>
    <w:p w:rsidR="00C7085E" w:rsidRDefault="00C7085E" w:rsidP="00B71B1A">
      <w:pPr>
        <w:keepNext/>
        <w:spacing w:before="120" w:after="240" w:line="276" w:lineRule="auto"/>
        <w:ind w:right="-285"/>
        <w:rPr>
          <w:rFonts w:cs="Arial"/>
          <w:i/>
          <w:sz w:val="23"/>
          <w:szCs w:val="23"/>
        </w:rPr>
      </w:pPr>
      <w:r>
        <w:t>El Cuadro General de Distribución de Baja Tensión (en lo sucesivo CGDBT), s</w:t>
      </w:r>
      <w:r>
        <w:rPr>
          <w:rFonts w:cs="Arial"/>
        </w:rPr>
        <w:t>erá un Conjunto Verificado, según la norma</w:t>
      </w:r>
      <w:r>
        <w:rPr>
          <w:rFonts w:cs="Arial"/>
          <w:sz w:val="23"/>
          <w:szCs w:val="23"/>
        </w:rPr>
        <w:t xml:space="preserve"> UNE-EN 61439: “</w:t>
      </w:r>
      <w:r>
        <w:rPr>
          <w:rFonts w:cs="Arial"/>
          <w:i/>
          <w:sz w:val="23"/>
          <w:szCs w:val="23"/>
        </w:rPr>
        <w:t>Conjuntos de aparamenta de baja tensión. Parte 1: Reglas generales.”</w:t>
      </w:r>
    </w:p>
    <w:p w:rsidR="00C7085E" w:rsidRDefault="00C7085E" w:rsidP="00B71B1A">
      <w:pPr>
        <w:spacing w:before="120" w:after="240" w:line="276" w:lineRule="auto"/>
        <w:ind w:right="-285"/>
      </w:pPr>
      <w:r>
        <w:t xml:space="preserve">En la fabricación del CGDBT, atendiendo a la norma UNE-EN 61439, </w:t>
      </w:r>
      <w:r>
        <w:rPr>
          <w:color w:val="000000"/>
        </w:rPr>
        <w:t>se contemplarán</w:t>
      </w:r>
      <w:r>
        <w:t xml:space="preserve"> las siguientes </w:t>
      </w:r>
      <w:r>
        <w:rPr>
          <w:color w:val="000000"/>
        </w:rPr>
        <w:t>figuras que intervendrán en su fabricación:</w:t>
      </w:r>
    </w:p>
    <w:p w:rsidR="00C7085E" w:rsidRDefault="00C7085E" w:rsidP="00B71B1A">
      <w:pPr>
        <w:keepNext/>
        <w:keepLines/>
        <w:spacing w:before="120" w:after="240" w:line="276" w:lineRule="auto"/>
        <w:ind w:right="-285"/>
        <w:rPr>
          <w:rFonts w:cs="Arial"/>
        </w:rPr>
      </w:pPr>
      <w:r>
        <w:rPr>
          <w:rFonts w:cs="Arial"/>
        </w:rPr>
        <w:t xml:space="preserve">- </w:t>
      </w:r>
      <w:r>
        <w:rPr>
          <w:rFonts w:cs="Arial"/>
          <w:u w:val="single"/>
        </w:rPr>
        <w:t>Fabricante Original</w:t>
      </w:r>
      <w:r>
        <w:rPr>
          <w:rFonts w:cs="Arial"/>
        </w:rPr>
        <w:t xml:space="preserve"> </w:t>
      </w:r>
    </w:p>
    <w:p w:rsidR="00C7085E" w:rsidRDefault="00C7085E" w:rsidP="00B71B1A">
      <w:pPr>
        <w:keepNext/>
        <w:keepLines/>
        <w:spacing w:before="120" w:after="240" w:line="276" w:lineRule="auto"/>
        <w:ind w:right="-285"/>
        <w:rPr>
          <w:rFonts w:cs="Arial"/>
        </w:rPr>
      </w:pPr>
      <w:r>
        <w:rPr>
          <w:rFonts w:cs="Arial"/>
        </w:rPr>
        <w:t xml:space="preserve">Organización que lleva a cabo el diseño original y las verificaciones asociadas al conjunto de aparamenta de acuerdo a la norma aplicable a dicho conjunto. </w:t>
      </w:r>
    </w:p>
    <w:p w:rsidR="00C7085E" w:rsidRDefault="00C7085E" w:rsidP="00B71B1A">
      <w:pPr>
        <w:spacing w:before="120" w:after="240" w:line="276" w:lineRule="auto"/>
        <w:ind w:right="-285"/>
        <w:rPr>
          <w:rFonts w:cs="Arial"/>
        </w:rPr>
      </w:pPr>
      <w:r>
        <w:rPr>
          <w:rFonts w:cs="Arial"/>
        </w:rPr>
        <w:t xml:space="preserve">- </w:t>
      </w:r>
      <w:r>
        <w:rPr>
          <w:rFonts w:cs="Arial"/>
          <w:u w:val="single"/>
        </w:rPr>
        <w:t>Fabricante del Conjunto</w:t>
      </w:r>
      <w:r>
        <w:rPr>
          <w:rFonts w:cs="Arial"/>
        </w:rPr>
        <w:t xml:space="preserve"> </w:t>
      </w:r>
    </w:p>
    <w:p w:rsidR="00C7085E" w:rsidRDefault="00C7085E" w:rsidP="00B71B1A">
      <w:pPr>
        <w:spacing w:before="120" w:after="240" w:line="276" w:lineRule="auto"/>
        <w:ind w:right="-285"/>
        <w:rPr>
          <w:rFonts w:cs="Arial"/>
        </w:rPr>
      </w:pPr>
      <w:r>
        <w:rPr>
          <w:rFonts w:cs="Arial"/>
        </w:rPr>
        <w:t>Organización que toma la responsabilidad del conjunto completo.</w:t>
      </w:r>
    </w:p>
    <w:p w:rsidR="00C7085E" w:rsidRDefault="00C7085E" w:rsidP="00B71B1A">
      <w:pPr>
        <w:spacing w:before="120" w:after="240" w:line="276" w:lineRule="auto"/>
        <w:ind w:right="-285"/>
      </w:pPr>
      <w:r>
        <w:t>Para la fabricación del CGDBT, tanto el “Fabricante Original” como el “Fabricante del Conjunto” serán la misma organización.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Se montará en un habitáculo diferente al centro de transformación.</w:t>
      </w:r>
    </w:p>
    <w:p w:rsidR="00C7085E" w:rsidRDefault="00C7085E" w:rsidP="00B71B1A">
      <w:pPr>
        <w:spacing w:before="120" w:after="240" w:line="276" w:lineRule="auto"/>
        <w:ind w:right="-285"/>
      </w:pPr>
      <w:r>
        <w:t xml:space="preserve">El CGDBT estará formado por columnas construidas con chapa de acero galvanizada, plegada y laminada en frío de dos milímetros (2 mm) de espesor, donde se ubicarán, los módulos de acometida, colocados en un extremo del conjunto y los diferentes módulos de salida. </w:t>
      </w:r>
    </w:p>
    <w:p w:rsidR="00C7085E" w:rsidRDefault="00C7085E" w:rsidP="00B71B1A">
      <w:pPr>
        <w:spacing w:before="120" w:after="240" w:line="276" w:lineRule="auto"/>
        <w:ind w:right="-285"/>
      </w:pPr>
      <w:r>
        <w:t>Dispondrá de una compartimentación forma 4a, según norma UNE-EN 61439.</w:t>
      </w:r>
    </w:p>
    <w:p w:rsidR="00C7085E" w:rsidRDefault="00C7085E" w:rsidP="00B71B1A">
      <w:pPr>
        <w:spacing w:before="120" w:after="240" w:line="276" w:lineRule="auto"/>
        <w:ind w:right="-285"/>
      </w:pPr>
      <w:r>
        <w:t>El CGDBT estará diseñado para soportar los efectos electrodinámicos producidos por cortocircuitos.</w:t>
      </w:r>
    </w:p>
    <w:p w:rsidR="00C7085E" w:rsidRDefault="00C7085E" w:rsidP="00B71B1A">
      <w:pPr>
        <w:spacing w:before="120" w:after="240" w:line="276" w:lineRule="auto"/>
        <w:ind w:right="-285"/>
      </w:pPr>
      <w:r>
        <w:t>El diseño eléctrico de los circuitos y sus diferentes configuraciones eléctricas, serán las que determine Canal de Isabel II Gestión.</w:t>
      </w:r>
    </w:p>
    <w:p w:rsidR="00C7085E" w:rsidRDefault="00C7085E" w:rsidP="00B71B1A">
      <w:pPr>
        <w:spacing w:before="120" w:after="240" w:line="276" w:lineRule="auto"/>
        <w:ind w:right="-285"/>
      </w:pPr>
      <w:r>
        <w:t xml:space="preserve">Cada módulo en su parte frontal tendrá una puerta de bisagra con cerradura dotada de tres (3) puntos de anclaje. La parte posterior se cerrará con una tapa desmontable mediante tornillos. </w:t>
      </w:r>
    </w:p>
    <w:p w:rsidR="00C7085E" w:rsidRDefault="00C7085E" w:rsidP="00B71B1A">
      <w:pPr>
        <w:spacing w:before="120" w:after="240" w:line="276" w:lineRule="auto"/>
        <w:ind w:right="-285"/>
      </w:pPr>
      <w:r>
        <w:t>Las puertas dispondrán de un enclavamiento que impida el que puedan abrirse cuando haya tensión en la parte a que dan acceso, o bien todos los puntos en tensión dispondrán de protecciones mecánicas transparentes contra contactos accidentales.</w:t>
      </w:r>
    </w:p>
    <w:p w:rsidR="00C7085E" w:rsidRDefault="00C7085E" w:rsidP="00B71B1A">
      <w:pPr>
        <w:spacing w:before="120" w:after="240" w:line="276" w:lineRule="auto"/>
        <w:ind w:right="-285"/>
      </w:pPr>
      <w:r>
        <w:t xml:space="preserve">El CGDBT en su conjunto será estanco a las proyecciones de agua, disponiendo al </w:t>
      </w:r>
      <w:r>
        <w:lastRenderedPageBreak/>
        <w:t>mismo tiempo de las aberturas necesarias para mantener una ventilación natural adecuada. Las entradas y salidas de cables se acondicionarán con este fin. El grado de protección de la envolvente será IP-54, e IP-20 en las partes activas desnudas y placas de entrada y salida de cables.</w:t>
      </w:r>
    </w:p>
    <w:p w:rsidR="00C7085E" w:rsidRDefault="00C7085E" w:rsidP="00B71B1A">
      <w:pPr>
        <w:spacing w:before="120" w:after="240" w:line="276" w:lineRule="auto"/>
        <w:ind w:right="-285"/>
      </w:pPr>
      <w:r>
        <w:t xml:space="preserve">El tratamiento previo de la chapa consistirá en una preparación de superficie: repaso de cordones de soldaduras, eliminación de proyecciones, porosidades, golpes y aristas vivas, desengrasado, fosfatado e imprimación. El pintado será a base de resina epoxi con posterior secado al horno. El espesor mínimo de pintura seca aplicada no debe ser inferior a cien micras (100 </w:t>
      </w:r>
      <w:r>
        <w:rPr>
          <w:rFonts w:cs="Arial"/>
        </w:rPr>
        <w:t>µ</w:t>
      </w:r>
      <w:r>
        <w:t>m). El color será RAL 1028 o el que en su día determine Canal de Isabel II Gestión.</w:t>
      </w:r>
    </w:p>
    <w:p w:rsidR="00C7085E" w:rsidRDefault="00C7085E" w:rsidP="00B71B1A">
      <w:pPr>
        <w:spacing w:before="120" w:after="240" w:line="276" w:lineRule="auto"/>
        <w:ind w:right="-285"/>
      </w:pPr>
      <w:r>
        <w:t>Dispondrán de cáncamos para facilitar el transporte y montaje.</w:t>
      </w:r>
    </w:p>
    <w:p w:rsidR="00C7085E" w:rsidRDefault="00C7085E" w:rsidP="00B71B1A">
      <w:pPr>
        <w:spacing w:before="120" w:after="240" w:line="276" w:lineRule="auto"/>
        <w:ind w:right="-285"/>
      </w:pPr>
      <w:r>
        <w:t>El diseño eléctrico de los circuitos y sus diferentes configuraciones eléctricas serán las que determine la Dirección de Obra, por lo que la fabricación del cuadro estará condicionada a la aprobación por parte de Canal de Isabel II Gestión de los esquemas eléctricos del mismo. Dichos esquemas se irán actualizando si hubiera cambios en obra y puesta en marcha. Lo anterior no eximirá al fabricante de su responsabilidad referente al cumplimiento de normas y reglamentos aplicables.</w:t>
      </w:r>
    </w:p>
    <w:p w:rsidR="00C7085E" w:rsidRDefault="00C7085E" w:rsidP="00B71B1A">
      <w:pPr>
        <w:spacing w:before="120" w:after="240" w:line="276" w:lineRule="auto"/>
        <w:ind w:right="-285"/>
      </w:pPr>
      <w:r>
        <w:t>Tendrá tantas entradas de alimentación como transformadores se instalen, dejando espacio libre suficiente para una adicional, en previsión del montaje futuro de un transformador adicional, el armario dispondrá del equipamiento así como de  elementos necesarios para facilitar la incorporación de una entrada adicional sin detener el funcionamiento de la instalación.</w:t>
      </w:r>
    </w:p>
    <w:p w:rsidR="00C7085E" w:rsidRDefault="00C7085E" w:rsidP="00B71B1A">
      <w:pPr>
        <w:spacing w:before="120" w:after="240" w:line="276" w:lineRule="auto"/>
        <w:ind w:right="-285"/>
      </w:pPr>
      <w:r>
        <w:t>Cada módulo de entrada dispondrá de un interruptor automático magnetotérmico tetrapolar del tipo extraíble y corte omnipolar, dotado de un relé de protección diferencial ajustable con graduación de sensibilidad y temporización, con su transformador toroidal correspondiente, con capacidad para soportar los efectos de cortocircuitos, mando directo independiente a la puerta y con enclavamiento mecánico y eléctrico con el disyuntor del transformador correspondiente, de tal forma que cuando se dispare el disyuntor de alta tensión, lo haga también automáticamente este interruptor automático de entrada al cuadro. Estas entradas se montarán en un extremo del cuadro.</w:t>
      </w:r>
    </w:p>
    <w:p w:rsidR="00C7085E" w:rsidRDefault="00C7085E" w:rsidP="00B71B1A">
      <w:pPr>
        <w:spacing w:before="120" w:after="240" w:line="276" w:lineRule="auto"/>
        <w:ind w:right="-285"/>
      </w:pPr>
      <w:r>
        <w:t>Igualmente dispondrá de un módulo de  entrada para la conexión de un grupo electrógeno móvil o estacionario, equipado con magnetotérmico tetrapolar , enclavado mecánicamente en posición abierto por medio de una cerradura con los interruptores de baja tensión de los transformadores de potencia, con el fin de evitar peligrosos retornos peligrosos en los transformadores BT/MT.</w:t>
      </w:r>
    </w:p>
    <w:p w:rsidR="00C7085E" w:rsidRDefault="00C7085E" w:rsidP="00B71B1A">
      <w:pPr>
        <w:spacing w:before="120" w:after="240" w:line="276" w:lineRule="auto"/>
        <w:ind w:right="-285"/>
      </w:pPr>
      <w:r>
        <w:t>El embarrado principal que debe estar preparado para futuras ampliaciones laterales del cuadro, será de tensión de cuatrocientos/doscientos treinta voltios (400/230V), estará constituido por pletinas de cobre estañado capaces de soportar los efectos electrodinámicos de cortocircuito, siendo de la misma sección la barra de neutro que las de fase. Todas ellas estarán protegidas con una capa aislante del color adecuado a cada una de las fases y neutro.</w:t>
      </w:r>
    </w:p>
    <w:p w:rsidR="00C7085E" w:rsidRDefault="00C7085E" w:rsidP="00B71B1A">
      <w:pPr>
        <w:spacing w:before="120" w:after="240" w:line="276" w:lineRule="auto"/>
        <w:ind w:right="-285"/>
      </w:pPr>
      <w:r>
        <w:lastRenderedPageBreak/>
        <w:t>El cálculo de la corriente de cortocircuito y efectos electrodinámicos de los embarrados e interruptores automáticos deberá realizarse teniendo en cuenta la potencia total de los transformadores instalados, incluido el de reserva. Se justificará que el embarrado y los interruptores soportan los cortocircuitos generados en los puntos en que están situados.</w:t>
      </w:r>
    </w:p>
    <w:p w:rsidR="00C7085E" w:rsidRDefault="00C7085E" w:rsidP="00B71B1A">
      <w:pPr>
        <w:spacing w:before="120" w:after="240" w:line="276" w:lineRule="auto"/>
        <w:ind w:right="-285"/>
      </w:pPr>
      <w:r>
        <w:t>El CGDBT estará dotado de los elementos adecuados para su puesta a tierra y dispondrá de resistencias de calefacción reguladas mediante termostato.</w:t>
      </w:r>
    </w:p>
    <w:p w:rsidR="00C7085E" w:rsidRDefault="00C7085E" w:rsidP="00B71B1A">
      <w:pPr>
        <w:spacing w:before="120" w:after="240" w:line="276" w:lineRule="auto"/>
        <w:ind w:right="-285"/>
        <w:rPr>
          <w:szCs w:val="22"/>
        </w:rPr>
      </w:pPr>
      <w:r>
        <w:t xml:space="preserve">Cada salida dispondrá de un interruptor automático magnetotérmico (de la intensidad adecuada en cada caso), con mando independiente a la puerta y con capacidad para soportar los efectos del cortocircuito, dotado de un transformador toroidal y de un relé de </w:t>
      </w:r>
      <w:r>
        <w:rPr>
          <w:szCs w:val="22"/>
        </w:rPr>
        <w:t>protección diferencial ajustable, con graduación de sensibilidad y temporización.</w:t>
      </w:r>
    </w:p>
    <w:p w:rsidR="00C7085E" w:rsidRDefault="00C7085E" w:rsidP="00B71B1A">
      <w:pPr>
        <w:spacing w:before="120" w:after="240" w:line="276" w:lineRule="auto"/>
        <w:ind w:right="-285"/>
        <w:rPr>
          <w:szCs w:val="22"/>
        </w:rPr>
      </w:pPr>
      <w:r>
        <w:t>Los disyuntores de entrada a CGDBT serán motorizados.</w:t>
      </w:r>
    </w:p>
    <w:p w:rsidR="00C7085E" w:rsidRDefault="00C7085E" w:rsidP="00B71B1A">
      <w:pPr>
        <w:spacing w:before="120" w:after="240" w:line="276" w:lineRule="auto"/>
        <w:ind w:right="-285"/>
      </w:pPr>
      <w:r>
        <w:t xml:space="preserve">En el frente del armario se instalarán siguientes los equipos de medida y señalización: </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Aparatos de Medida:</w:t>
      </w:r>
    </w:p>
    <w:p w:rsidR="00C7085E" w:rsidRDefault="00C7085E" w:rsidP="00B71B1A">
      <w:pPr>
        <w:pStyle w:val="Textocomentario"/>
        <w:suppressAutoHyphens/>
        <w:spacing w:after="240" w:line="276" w:lineRule="auto"/>
        <w:ind w:left="709" w:right="-285"/>
        <w:rPr>
          <w:rFonts w:cs="Times New Roman"/>
          <w:sz w:val="22"/>
          <w:szCs w:val="22"/>
          <w:lang w:val="es-ES"/>
        </w:rPr>
      </w:pPr>
      <w:r>
        <w:rPr>
          <w:sz w:val="22"/>
          <w:szCs w:val="22"/>
        </w:rPr>
        <w:t>El CGDBT dispondrá de un analizador de redes en cada una de las  acometidas de alimentación, de las siguientes características: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Display multilínea para la indicación local de las siguientes variables: tensión simple, tensión compuesta, intensidad, potencias activa y reactiva, y consumo de energías activa y reactiva, tasa de distorsión armónica, tanto en corriente como en tensión. Todas estas variables deberán estar integradas  en el sistema de control a nivel de PLC.</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Dos (2) Salidas Digitales.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 xml:space="preserve">Dos (2) Salidas Analógicas, </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Puerto de comunicación Ethernet y con capacidad de comunicación  en el protocolo de comunicaciones que determine  Canal de Isabel II gestión en cada caso.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Sus dimensiones mínimas serán 144 mm x 144 mm.</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Señalización óptica luminosa:</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Se realizará a tensión de veinticuatro voltios (24 V.) de corriente alterna, mediante transformadores de circuitos separados.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Posición de cerrado para cada uno de los disyuntores de alta tensión.</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Posición de cerrado de cada uno de los interruptores automáticos, tanto en circuitos de entrada como de salida del cuadro.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Señalización de defecto magnetotérmico o diferencial.</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Se dotará al cuadro del número necesario de pulsadores de prueba de lámparas para comprobar con comodidad el buen funcionamiento de éstas.</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Señalización escrita:</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Cada circuito estará señalizado con un letrero de formica negra con escritura en blanco, visible al menos desde dos (2) metros de distancia, en el que figure el número de circuito a que corresponde en los esquemas y el nombre del mismo.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lastRenderedPageBreak/>
        <w:t>En una parte destacada, como puede ser el ángulo superior izquierdo, se colocará un letrero de las mismas características que los anteriores, en el que figure el número del cuadro y su nombre según los esquemas eléctricos siendo visible, al menos, desde una distancia a cinco (5) metros.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Todos los letreros se fijarán mediante remaches.</w:t>
      </w:r>
    </w:p>
    <w:p w:rsidR="00C7085E" w:rsidRDefault="00C7085E" w:rsidP="00B71B1A">
      <w:pPr>
        <w:spacing w:before="120" w:after="240" w:line="276" w:lineRule="auto"/>
        <w:ind w:right="-285"/>
      </w:pPr>
      <w:r>
        <w:t>Si por la concentración de equipos, un único cuadro hace las veces de cuadro general de distribución y de CCM, dicho cuadro cumplirá con las especificaciones más exigentes de ambos.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bookmarkStart w:id="798" w:name="_Ref403567521"/>
      <w:r>
        <w:t>Control de calidad</w:t>
      </w:r>
      <w:bookmarkEnd w:id="798"/>
    </w:p>
    <w:p w:rsidR="00C7085E" w:rsidRDefault="00C7085E" w:rsidP="00B71B1A">
      <w:pPr>
        <w:spacing w:before="120" w:after="240" w:line="276" w:lineRule="auto"/>
        <w:ind w:right="-285"/>
      </w:pPr>
      <w:r>
        <w:t>Los cuadros se realizarán de acuerdo a los esquemas eléctricos proyectados, así como a los planos de vistas físicas.</w:t>
      </w:r>
    </w:p>
    <w:p w:rsidR="00C7085E" w:rsidRDefault="00C7085E" w:rsidP="00B71B1A">
      <w:pPr>
        <w:spacing w:before="120" w:after="240" w:line="276" w:lineRule="auto"/>
        <w:ind w:right="-285"/>
      </w:pPr>
      <w:r>
        <w:t>Antes de su expedición a obra se realizará el montaje total del armario con los componentes colocados, y realizado el cableado completo, con el fin de comprobar los circuitos.</w:t>
      </w:r>
    </w:p>
    <w:p w:rsidR="00C7085E" w:rsidRDefault="00C7085E" w:rsidP="00B71B1A">
      <w:pPr>
        <w:pStyle w:val="Textocomentario"/>
        <w:spacing w:after="240" w:line="276" w:lineRule="auto"/>
        <w:ind w:right="-285"/>
        <w:rPr>
          <w:sz w:val="22"/>
          <w:szCs w:val="24"/>
          <w:lang w:eastAsia="es-ES_tradnl"/>
        </w:rPr>
      </w:pPr>
      <w:r>
        <w:rPr>
          <w:sz w:val="22"/>
          <w:szCs w:val="24"/>
          <w:lang w:eastAsia="es-ES_tradnl"/>
        </w:rPr>
        <w:t>El fabricante del conjunto verificado, presentará la certificaciones de las verificaciones de diseño recogidas en la norma UNE-EN 61439, emitidas por un laboratorio homologado e independiente.</w:t>
      </w:r>
    </w:p>
    <w:p w:rsidR="00C7085E" w:rsidRDefault="00C7085E" w:rsidP="00B71B1A">
      <w:pPr>
        <w:keepNext/>
        <w:spacing w:before="120" w:after="240" w:line="276" w:lineRule="auto"/>
        <w:ind w:right="-285"/>
        <w:rPr>
          <w:lang w:val="es-ES_tradnl" w:eastAsia="es-ES_tradnl"/>
        </w:rPr>
      </w:pPr>
      <w:r>
        <w:t>Se realizará como mínimo los siguientes controles:</w:t>
      </w:r>
    </w:p>
    <w:p w:rsidR="00C7085E" w:rsidRDefault="00C7085E" w:rsidP="00B71B1A">
      <w:pPr>
        <w:pStyle w:val="Prrafodelista"/>
        <w:keepNext/>
        <w:numPr>
          <w:ilvl w:val="0"/>
          <w:numId w:val="26"/>
        </w:numPr>
        <w:autoSpaceDE w:val="0"/>
        <w:autoSpaceDN w:val="0"/>
        <w:adjustRightInd w:val="0"/>
        <w:spacing w:before="120" w:after="240"/>
        <w:ind w:left="714" w:right="-285" w:hanging="357"/>
        <w:rPr>
          <w:rFonts w:ascii="Arial" w:hAnsi="Arial" w:cs="Arial"/>
        </w:rPr>
      </w:pPr>
      <w:r>
        <w:rPr>
          <w:rFonts w:ascii="Arial" w:hAnsi="Arial" w:cs="Arial"/>
        </w:rPr>
        <w:t>Comprobación de dimensiones, espesor de chapa, acabado, etc.</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Comprobación del cableado de armarios y de cada componente en particular, de acuerdo con los esquemas, desde esto hasta los regleteros de bornas de salida.</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Comprobación de que se cumplen en todas las características indicadas en la especificación de diseño.</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Comprobación de las características y calidades de los componentes incluido en cada panel, tales como: contactores, arrancadores, transformadores, relés, fusibles, pulsadores, pilotos, regleteros de bornas, bandejas y conductores, racores, puestas a tierra, etc.</w:t>
      </w:r>
    </w:p>
    <w:p w:rsidR="00C7085E" w:rsidRDefault="00C7085E" w:rsidP="00B71B1A">
      <w:pPr>
        <w:pStyle w:val="Prrafodelista"/>
        <w:numPr>
          <w:ilvl w:val="0"/>
          <w:numId w:val="26"/>
        </w:numPr>
        <w:autoSpaceDE w:val="0"/>
        <w:autoSpaceDN w:val="0"/>
        <w:adjustRightInd w:val="0"/>
        <w:spacing w:before="120" w:after="240"/>
        <w:ind w:right="-285"/>
        <w:rPr>
          <w:rFonts w:ascii="Arial" w:hAnsi="Arial" w:cs="Arial"/>
        </w:rPr>
      </w:pPr>
      <w:r>
        <w:rPr>
          <w:rFonts w:ascii="Arial" w:hAnsi="Arial" w:cs="Arial"/>
        </w:rPr>
        <w:t>Comprobación del correcto funcionamiento de interruptores, pulsadores, lámparas piloto, relés, etc.</w:t>
      </w:r>
    </w:p>
    <w:p w:rsidR="00C7085E" w:rsidRDefault="00C7085E" w:rsidP="00B71B1A">
      <w:pPr>
        <w:pStyle w:val="Prrafodelista"/>
        <w:numPr>
          <w:ilvl w:val="0"/>
          <w:numId w:val="26"/>
        </w:numPr>
        <w:autoSpaceDE w:val="0"/>
        <w:autoSpaceDN w:val="0"/>
        <w:adjustRightInd w:val="0"/>
        <w:spacing w:before="120" w:after="240"/>
        <w:ind w:right="-285"/>
        <w:rPr>
          <w:rFonts w:ascii="Arial" w:hAnsi="Arial" w:cs="Arial"/>
        </w:rPr>
      </w:pPr>
      <w:r>
        <w:rPr>
          <w:rFonts w:ascii="Arial" w:hAnsi="Arial" w:cs="Arial"/>
        </w:rPr>
        <w:t>Comprobación de rótulos.</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Comprobación del correcto funcionamiento de los contactores con tensiones de mando diferente a la nominal.</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Comprobación de los enclavamientos.</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Comprobación del marcado de fases.</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Comprobación de números y secciones de conductores.</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Ensayo de rigidez dieléctrica.</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Ensayo de simulación de funcionamiento.</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Ensayo de resistencia de aislamiento de cada cuadro.</w:t>
      </w:r>
    </w:p>
    <w:p w:rsidR="00C7085E" w:rsidRDefault="00C7085E" w:rsidP="00B71B1A">
      <w:pPr>
        <w:keepNext/>
        <w:keepLines/>
        <w:spacing w:before="120" w:after="240" w:line="276" w:lineRule="auto"/>
        <w:ind w:right="-285"/>
      </w:pPr>
      <w:r>
        <w:lastRenderedPageBreak/>
        <w:t>Se comprobara mediante la emisión de Certificado de Cumplimiento y Certificado de Prueba los siguientes ensayos:</w:t>
      </w:r>
    </w:p>
    <w:p w:rsidR="00C7085E" w:rsidRDefault="00C7085E" w:rsidP="00B71B1A">
      <w:pPr>
        <w:pStyle w:val="Prrafodelista"/>
        <w:keepNext/>
        <w:keepLines/>
        <w:numPr>
          <w:ilvl w:val="0"/>
          <w:numId w:val="26"/>
        </w:numPr>
        <w:autoSpaceDE w:val="0"/>
        <w:autoSpaceDN w:val="0"/>
        <w:adjustRightInd w:val="0"/>
        <w:spacing w:before="120" w:after="240"/>
        <w:ind w:left="714" w:right="-285" w:hanging="357"/>
        <w:rPr>
          <w:rFonts w:ascii="Arial" w:hAnsi="Arial" w:cs="Arial"/>
        </w:rPr>
      </w:pPr>
      <w:r>
        <w:rPr>
          <w:rFonts w:ascii="Arial" w:hAnsi="Arial" w:cs="Arial"/>
        </w:rPr>
        <w:t>Aislamiento: Se realizará con una fase a tierra (si el circuito es monofásico) y se comprueba que el aislamiento es el adecuado según el vigente Reglamento de Baja Tensión.</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Rigidez Dieléctrica: Consistirá esta prueba en someter al panel a una tensión 2V + 1.000 V, con un mínimo de 1.500 V, siendo V la tensión nominal de servicio, el tiempo será de (1) un minuto y se comprobará que no se producen anomalías.</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Continuidad de circuitos: Consistente esta prueba en comprobar la continuidad de los circuitos principales.</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Simulación de Funcionamiento: Consiste en una prueba en blanco del funcionamiento del sistema. Se comprobará que al quitar o poner los enclavamientos correspondientes el sistema actúa de acuerdo con lo previsto.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Medición y abono</w:t>
      </w:r>
    </w:p>
    <w:p w:rsidR="00C7085E" w:rsidRDefault="00C7085E" w:rsidP="00B71B1A">
      <w:pPr>
        <w:spacing w:before="120" w:after="240" w:line="276" w:lineRule="auto"/>
        <w:ind w:right="-285"/>
      </w:pPr>
      <w:bookmarkStart w:id="799" w:name="_Toc392586275"/>
      <w:r>
        <w:t>El abono de los cuadros general de distribución de baja tensión (CGDBT) se abonará de acuerdo a las unidades que figuren en el Cuadro de Precio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00" w:name="_Toc414022106"/>
      <w:bookmarkStart w:id="801" w:name="_Toc448741503"/>
      <w:r>
        <w:t>Equipos de corrección de energía reactiva</w:t>
      </w:r>
      <w:bookmarkEnd w:id="799"/>
      <w:bookmarkEnd w:id="800"/>
      <w:bookmarkEnd w:id="801"/>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spacing w:before="120" w:after="240" w:line="276" w:lineRule="auto"/>
        <w:ind w:right="-285"/>
      </w:pPr>
      <w:r>
        <w:t>En las instalaciones se montarán dos tipos de equipos de corrección de energía reactiva:</w:t>
      </w:r>
    </w:p>
    <w:p w:rsidR="00C7085E" w:rsidRDefault="00C7085E" w:rsidP="00B71B1A">
      <w:pPr>
        <w:pStyle w:val="Prrafodelista"/>
        <w:numPr>
          <w:ilvl w:val="0"/>
          <w:numId w:val="27"/>
        </w:numPr>
        <w:spacing w:before="120" w:after="240"/>
        <w:ind w:left="714" w:right="-285" w:hanging="357"/>
        <w:rPr>
          <w:rFonts w:ascii="Arial" w:hAnsi="Arial" w:cs="Arial"/>
          <w:b/>
        </w:rPr>
      </w:pPr>
      <w:r>
        <w:rPr>
          <w:rFonts w:ascii="Arial" w:hAnsi="Arial" w:cs="Arial"/>
          <w:b/>
        </w:rPr>
        <w:t>Batería fija</w:t>
      </w:r>
    </w:p>
    <w:p w:rsidR="00C7085E" w:rsidRDefault="00C7085E" w:rsidP="00B71B1A">
      <w:pPr>
        <w:spacing w:before="120" w:after="240" w:line="276" w:lineRule="auto"/>
        <w:ind w:right="-285"/>
      </w:pPr>
      <w:r>
        <w:t>Las características constructivas de los condensadores serán:</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2"/>
        <w:gridCol w:w="4768"/>
      </w:tblGrid>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 xml:space="preserve">Condensadores: </w:t>
            </w:r>
          </w:p>
        </w:tc>
        <w:tc>
          <w:tcPr>
            <w:tcW w:w="5203" w:type="dxa"/>
            <w:hideMark/>
          </w:tcPr>
          <w:p w:rsidR="00C7085E" w:rsidRDefault="00C7085E" w:rsidP="00B71B1A">
            <w:pPr>
              <w:spacing w:before="120" w:after="240" w:line="276" w:lineRule="auto"/>
              <w:ind w:right="-285"/>
              <w:rPr>
                <w:rFonts w:cs="Arial"/>
              </w:rPr>
            </w:pPr>
            <w:r>
              <w:rPr>
                <w:rFonts w:cs="Arial"/>
              </w:rPr>
              <w:t>Trifásicos, formados a partir de elementos monofásicos cableados en triángulo y separados físicamente entre sí.</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Diélectrico+armadura</w:t>
            </w:r>
          </w:p>
        </w:tc>
        <w:tc>
          <w:tcPr>
            <w:tcW w:w="5203" w:type="dxa"/>
            <w:hideMark/>
          </w:tcPr>
          <w:p w:rsidR="00C7085E" w:rsidRDefault="00C7085E" w:rsidP="00B71B1A">
            <w:pPr>
              <w:spacing w:before="120" w:after="240" w:line="276" w:lineRule="auto"/>
              <w:ind w:right="-285"/>
              <w:rPr>
                <w:rFonts w:cs="Arial"/>
              </w:rPr>
            </w:pPr>
            <w:r>
              <w:rPr>
                <w:rFonts w:cs="Arial"/>
              </w:rPr>
              <w:t>Film plástico aislante de Polipropileno metalizado, autocicatrizante.</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Tipo:</w:t>
            </w:r>
          </w:p>
        </w:tc>
        <w:tc>
          <w:tcPr>
            <w:tcW w:w="5203" w:type="dxa"/>
            <w:hideMark/>
          </w:tcPr>
          <w:p w:rsidR="00C7085E" w:rsidRDefault="00C7085E" w:rsidP="00B71B1A">
            <w:pPr>
              <w:spacing w:before="120" w:after="240" w:line="276" w:lineRule="auto"/>
              <w:ind w:right="-285"/>
              <w:rPr>
                <w:rFonts w:cs="Arial"/>
              </w:rPr>
            </w:pPr>
            <w:r>
              <w:rPr>
                <w:rFonts w:cs="Arial"/>
              </w:rPr>
              <w:t>Seco sin líquidos impregnantes (no contiene aceites, PCB’s ni similares).</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Envolvente</w:t>
            </w:r>
          </w:p>
        </w:tc>
        <w:tc>
          <w:tcPr>
            <w:tcW w:w="5203" w:type="dxa"/>
            <w:hideMark/>
          </w:tcPr>
          <w:p w:rsidR="00C7085E" w:rsidRDefault="00C7085E" w:rsidP="00B71B1A">
            <w:pPr>
              <w:spacing w:before="120" w:after="240" w:line="276" w:lineRule="auto"/>
              <w:ind w:right="-285"/>
              <w:rPr>
                <w:rFonts w:cs="Arial"/>
              </w:rPr>
            </w:pPr>
            <w:r>
              <w:rPr>
                <w:rFonts w:cs="Arial"/>
              </w:rPr>
              <w:t>Plástica con doble asilamiento eléctrico y máxima autoextinguibilidad, de acuerdo con la certificación UL 94 5 VA.</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lastRenderedPageBreak/>
              <w:t>Refrigeración:</w:t>
            </w:r>
          </w:p>
        </w:tc>
        <w:tc>
          <w:tcPr>
            <w:tcW w:w="5203" w:type="dxa"/>
            <w:hideMark/>
          </w:tcPr>
          <w:p w:rsidR="00C7085E" w:rsidRDefault="00C7085E" w:rsidP="00B71B1A">
            <w:pPr>
              <w:spacing w:before="120" w:after="240" w:line="276" w:lineRule="auto"/>
              <w:ind w:right="-285"/>
              <w:rPr>
                <w:rFonts w:cs="Arial"/>
              </w:rPr>
            </w:pPr>
            <w:r>
              <w:rPr>
                <w:rFonts w:cs="Arial"/>
              </w:rPr>
              <w:t>Aire. Cada elemento monofásico está en contacto directo con el ambiente que lo rodea (efectiva evacuación del calor por convección debido a la gran superficie de contacto del aire).</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Sistema de conexión por seguridad por:</w:t>
            </w:r>
          </w:p>
        </w:tc>
        <w:tc>
          <w:tcPr>
            <w:tcW w:w="5203" w:type="dxa"/>
            <w:hideMark/>
          </w:tcPr>
          <w:p w:rsidR="00C7085E" w:rsidRDefault="00C7085E" w:rsidP="00B71B1A">
            <w:pPr>
              <w:spacing w:before="120" w:after="240" w:line="276" w:lineRule="auto"/>
              <w:ind w:right="-285"/>
              <w:rPr>
                <w:rFonts w:cs="Arial"/>
              </w:rPr>
            </w:pPr>
            <w:r>
              <w:rPr>
                <w:rFonts w:cs="Arial"/>
              </w:rPr>
              <w:t>Conexión de cables de potencia a la red mediante pletinas o bornes.</w:t>
            </w:r>
          </w:p>
          <w:p w:rsidR="00C7085E" w:rsidRDefault="00C7085E" w:rsidP="00B71B1A">
            <w:pPr>
              <w:spacing w:before="120" w:after="240" w:line="276" w:lineRule="auto"/>
              <w:ind w:right="-285"/>
              <w:rPr>
                <w:rFonts w:cs="Arial"/>
              </w:rPr>
            </w:pPr>
            <w:r>
              <w:rPr>
                <w:rFonts w:cs="Arial"/>
              </w:rPr>
              <w:t>Pieza antirrotación de los terminales de los cables de conexión integradas.</w:t>
            </w:r>
          </w:p>
        </w:tc>
      </w:tr>
    </w:tbl>
    <w:p w:rsidR="00C7085E" w:rsidRDefault="00C7085E" w:rsidP="00B71B1A">
      <w:pPr>
        <w:spacing w:before="120" w:after="240" w:line="276" w:lineRule="auto"/>
        <w:ind w:right="-285"/>
        <w:rPr>
          <w:lang w:val="es-ES_tradnl" w:eastAsia="es-ES_tradnl"/>
        </w:rPr>
      </w:pPr>
      <w:r>
        <w:t>Las características eléctricas de los condensadores serán:</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9"/>
        <w:gridCol w:w="4811"/>
      </w:tblGrid>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Tensión nominal:</w:t>
            </w:r>
          </w:p>
        </w:tc>
        <w:tc>
          <w:tcPr>
            <w:tcW w:w="5203" w:type="dxa"/>
            <w:hideMark/>
          </w:tcPr>
          <w:p w:rsidR="00C7085E" w:rsidRDefault="00C7085E" w:rsidP="00B71B1A">
            <w:pPr>
              <w:spacing w:before="120" w:after="240" w:line="276" w:lineRule="auto"/>
              <w:ind w:right="-285"/>
              <w:rPr>
                <w:rFonts w:cs="Arial"/>
              </w:rPr>
            </w:pPr>
            <w:r>
              <w:rPr>
                <w:rFonts w:cs="Arial"/>
              </w:rPr>
              <w:t>Según gráfico de la ficha técnica correspondiente</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Resistencia de aislamiento a onda de choque 1-2/50 ms:</w:t>
            </w:r>
          </w:p>
        </w:tc>
        <w:tc>
          <w:tcPr>
            <w:tcW w:w="5203" w:type="dxa"/>
            <w:vAlign w:val="center"/>
            <w:hideMark/>
          </w:tcPr>
          <w:p w:rsidR="00C7085E" w:rsidRDefault="00C7085E" w:rsidP="00B71B1A">
            <w:pPr>
              <w:spacing w:before="120" w:after="240" w:line="276" w:lineRule="auto"/>
              <w:ind w:right="-285"/>
              <w:rPr>
                <w:rFonts w:cs="Arial"/>
              </w:rPr>
            </w:pPr>
            <w:r>
              <w:rPr>
                <w:rFonts w:cs="Arial"/>
              </w:rPr>
              <w:t>15 KV</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Resistencia de aislamiento 50 Hz 1 minuto:</w:t>
            </w:r>
          </w:p>
        </w:tc>
        <w:tc>
          <w:tcPr>
            <w:tcW w:w="5203" w:type="dxa"/>
          </w:tcPr>
          <w:p w:rsidR="00C7085E" w:rsidRDefault="00C7085E" w:rsidP="00B71B1A">
            <w:pPr>
              <w:spacing w:before="120" w:after="240" w:line="276" w:lineRule="auto"/>
              <w:ind w:right="-285"/>
              <w:rPr>
                <w:rFonts w:cs="Arial"/>
              </w:rPr>
            </w:pPr>
            <w:r>
              <w:rPr>
                <w:rFonts w:cs="Arial"/>
              </w:rPr>
              <w:t>3 KV</w:t>
            </w:r>
          </w:p>
          <w:p w:rsidR="00C7085E" w:rsidRDefault="00C7085E" w:rsidP="00B71B1A">
            <w:pPr>
              <w:spacing w:before="120" w:after="240" w:line="276" w:lineRule="auto"/>
              <w:ind w:right="-285"/>
              <w:rPr>
                <w:rFonts w:cs="Arial"/>
              </w:rPr>
            </w:pP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Tensión máxima admisible (8 horas cada 24 horas, según CEI 831)</w:t>
            </w:r>
          </w:p>
        </w:tc>
        <w:tc>
          <w:tcPr>
            <w:tcW w:w="5203" w:type="dxa"/>
            <w:vAlign w:val="center"/>
            <w:hideMark/>
          </w:tcPr>
          <w:p w:rsidR="00C7085E" w:rsidRDefault="00C7085E" w:rsidP="00B71B1A">
            <w:pPr>
              <w:spacing w:before="120" w:after="240" w:line="276" w:lineRule="auto"/>
              <w:ind w:right="-285"/>
              <w:rPr>
                <w:rFonts w:cs="Arial"/>
              </w:rPr>
            </w:pPr>
            <w:r>
              <w:rPr>
                <w:rFonts w:cs="Arial"/>
              </w:rPr>
              <w:t>10%</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Sobretensiones de corta duración:</w:t>
            </w:r>
          </w:p>
        </w:tc>
        <w:tc>
          <w:tcPr>
            <w:tcW w:w="5203" w:type="dxa"/>
            <w:vAlign w:val="center"/>
            <w:hideMark/>
          </w:tcPr>
          <w:p w:rsidR="00C7085E" w:rsidRDefault="00C7085E" w:rsidP="00B71B1A">
            <w:pPr>
              <w:spacing w:before="120" w:after="240" w:line="276" w:lineRule="auto"/>
              <w:ind w:right="-285"/>
              <w:rPr>
                <w:rFonts w:cs="Arial"/>
              </w:rPr>
            </w:pPr>
            <w:r>
              <w:rPr>
                <w:rFonts w:cs="Arial"/>
              </w:rPr>
              <w:t>20% durante 15 minutos</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Sobretensiones debidas a los armónicos</w:t>
            </w:r>
          </w:p>
        </w:tc>
        <w:tc>
          <w:tcPr>
            <w:tcW w:w="5203" w:type="dxa"/>
            <w:vAlign w:val="center"/>
            <w:hideMark/>
          </w:tcPr>
          <w:p w:rsidR="00C7085E" w:rsidRDefault="00C7085E" w:rsidP="00B71B1A">
            <w:pPr>
              <w:spacing w:before="120" w:after="240" w:line="276" w:lineRule="auto"/>
              <w:ind w:right="-285"/>
              <w:rPr>
                <w:rFonts w:cs="Arial"/>
              </w:rPr>
            </w:pPr>
            <w:r>
              <w:rPr>
                <w:rFonts w:cs="Arial"/>
              </w:rPr>
              <w:t>30%</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Factor de pérdidas:</w:t>
            </w:r>
          </w:p>
        </w:tc>
        <w:tc>
          <w:tcPr>
            <w:tcW w:w="5203" w:type="dxa"/>
            <w:vAlign w:val="center"/>
            <w:hideMark/>
          </w:tcPr>
          <w:p w:rsidR="00C7085E" w:rsidRDefault="00C7085E" w:rsidP="00B71B1A">
            <w:pPr>
              <w:spacing w:before="120" w:after="240" w:line="276" w:lineRule="auto"/>
              <w:ind w:right="-285"/>
              <w:rPr>
                <w:rFonts w:cs="Arial"/>
              </w:rPr>
            </w:pPr>
            <w:r>
              <w:rPr>
                <w:rFonts w:cs="Arial"/>
              </w:rPr>
              <w:t>0,4 W/KVAr (incluyendo las pérdidas en las resistencias de descarga)</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Contactores:</w:t>
            </w:r>
          </w:p>
        </w:tc>
        <w:tc>
          <w:tcPr>
            <w:tcW w:w="5203" w:type="dxa"/>
            <w:vAlign w:val="center"/>
            <w:hideMark/>
          </w:tcPr>
          <w:p w:rsidR="00C7085E" w:rsidRDefault="00C7085E" w:rsidP="00B71B1A">
            <w:pPr>
              <w:spacing w:before="120" w:after="240" w:line="276" w:lineRule="auto"/>
              <w:ind w:right="-285"/>
              <w:rPr>
                <w:rFonts w:cs="Arial"/>
              </w:rPr>
            </w:pPr>
            <w:r>
              <w:rPr>
                <w:rFonts w:cs="Arial"/>
              </w:rPr>
              <w:t>Específicos para maniobras con condeNsandores</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Envolvente:</w:t>
            </w:r>
          </w:p>
        </w:tc>
        <w:tc>
          <w:tcPr>
            <w:tcW w:w="5203" w:type="dxa"/>
            <w:vAlign w:val="center"/>
            <w:hideMark/>
          </w:tcPr>
          <w:p w:rsidR="00C7085E" w:rsidRDefault="00C7085E" w:rsidP="00B71B1A">
            <w:pPr>
              <w:spacing w:before="120" w:after="240" w:line="276" w:lineRule="auto"/>
              <w:ind w:right="-285"/>
              <w:rPr>
                <w:rFonts w:cs="Arial"/>
              </w:rPr>
            </w:pPr>
            <w:r>
              <w:rPr>
                <w:rFonts w:cs="Arial"/>
              </w:rPr>
              <w:t>IP54, color RAL 7032</w:t>
            </w:r>
          </w:p>
        </w:tc>
      </w:tr>
    </w:tbl>
    <w:p w:rsidR="00C7085E" w:rsidRDefault="00C7085E" w:rsidP="00B71B1A">
      <w:pPr>
        <w:spacing w:before="120" w:after="240" w:line="276" w:lineRule="auto"/>
        <w:ind w:right="-285"/>
        <w:rPr>
          <w:lang w:val="es-ES_tradnl" w:eastAsia="es-ES_tradnl"/>
        </w:rPr>
      </w:pPr>
      <w:r>
        <w:t>Las características térmicas de los condensadores serán:</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4821"/>
      </w:tblGrid>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Temperatura máxima</w:t>
            </w:r>
          </w:p>
        </w:tc>
        <w:tc>
          <w:tcPr>
            <w:tcW w:w="5203" w:type="dxa"/>
            <w:vAlign w:val="center"/>
            <w:hideMark/>
          </w:tcPr>
          <w:p w:rsidR="00C7085E" w:rsidRDefault="00C7085E" w:rsidP="00B71B1A">
            <w:pPr>
              <w:spacing w:before="120" w:after="240" w:line="276" w:lineRule="auto"/>
              <w:ind w:right="-285"/>
              <w:rPr>
                <w:rFonts w:cs="Arial"/>
              </w:rPr>
            </w:pPr>
            <w:r>
              <w:rPr>
                <w:rFonts w:cs="Arial"/>
              </w:rPr>
              <w:t>40 º C</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lastRenderedPageBreak/>
              <w:t>Temperatura media 24 h.:</w:t>
            </w:r>
          </w:p>
        </w:tc>
        <w:tc>
          <w:tcPr>
            <w:tcW w:w="5203" w:type="dxa"/>
            <w:vAlign w:val="center"/>
            <w:hideMark/>
          </w:tcPr>
          <w:p w:rsidR="00C7085E" w:rsidRDefault="00C7085E" w:rsidP="00B71B1A">
            <w:pPr>
              <w:spacing w:before="120" w:after="240" w:line="276" w:lineRule="auto"/>
              <w:ind w:right="-285"/>
              <w:rPr>
                <w:rFonts w:cs="Arial"/>
              </w:rPr>
            </w:pPr>
            <w:r>
              <w:rPr>
                <w:rFonts w:cs="Arial"/>
              </w:rPr>
              <w:t>35 º C</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Temperatura media anual:</w:t>
            </w:r>
          </w:p>
        </w:tc>
        <w:tc>
          <w:tcPr>
            <w:tcW w:w="5203" w:type="dxa"/>
            <w:vAlign w:val="center"/>
            <w:hideMark/>
          </w:tcPr>
          <w:p w:rsidR="00C7085E" w:rsidRDefault="00C7085E" w:rsidP="00B71B1A">
            <w:pPr>
              <w:spacing w:before="120" w:after="240" w:line="276" w:lineRule="auto"/>
              <w:ind w:right="-285"/>
              <w:rPr>
                <w:rFonts w:cs="Arial"/>
              </w:rPr>
            </w:pPr>
            <w:r>
              <w:rPr>
                <w:rFonts w:cs="Arial"/>
              </w:rPr>
              <w:t>25 º C</w:t>
            </w:r>
          </w:p>
        </w:tc>
      </w:tr>
      <w:tr w:rsidR="00C7085E" w:rsidTr="00C7085E">
        <w:tc>
          <w:tcPr>
            <w:tcW w:w="4077" w:type="dxa"/>
            <w:hideMark/>
          </w:tcPr>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Variación de la capacidad con la temperatura:</w:t>
            </w:r>
          </w:p>
        </w:tc>
        <w:tc>
          <w:tcPr>
            <w:tcW w:w="5203" w:type="dxa"/>
            <w:vAlign w:val="center"/>
            <w:hideMark/>
          </w:tcPr>
          <w:p w:rsidR="00C7085E" w:rsidRDefault="00C7085E" w:rsidP="00B71B1A">
            <w:pPr>
              <w:spacing w:before="120" w:after="240" w:line="276" w:lineRule="auto"/>
              <w:ind w:right="-285"/>
              <w:rPr>
                <w:rFonts w:cs="Arial"/>
              </w:rPr>
            </w:pPr>
            <w:r>
              <w:rPr>
                <w:rFonts w:cs="Arial"/>
              </w:rPr>
              <w:t>Inferior al 4% en la gama de temperaturas comprendidas entre -35 º C y + 50 º C.</w:t>
            </w:r>
          </w:p>
        </w:tc>
      </w:tr>
    </w:tbl>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La batería dispondrá como protección de un interruptor automático general sobredimensionado.</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Cada uno de los elementos capacitivos monofásicos que constituyen un condensador de potencia trifásico constará de los siguientes sistemas de protección, únicos e independientes para cada uno de ellos: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Fusible interno APR (50 KA.).</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Protección antiexplosión mediante membrana de sobrepresión actuando sobre el fusible APR, no dando lugar a cebados de arcos externos.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Resistencia de descarga rápida incorporada a cada elemento.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Índice de protección IP 42 (incluir cubrebornes).</w:t>
      </w:r>
    </w:p>
    <w:p w:rsidR="00C7085E" w:rsidRDefault="00C7085E" w:rsidP="00B71B1A">
      <w:pPr>
        <w:pStyle w:val="Prrafodelista"/>
        <w:keepNext/>
        <w:numPr>
          <w:ilvl w:val="0"/>
          <w:numId w:val="26"/>
        </w:numPr>
        <w:autoSpaceDE w:val="0"/>
        <w:autoSpaceDN w:val="0"/>
        <w:adjustRightInd w:val="0"/>
        <w:spacing w:before="120" w:after="240"/>
        <w:ind w:left="714" w:right="-285" w:hanging="357"/>
        <w:rPr>
          <w:rFonts w:ascii="Arial" w:hAnsi="Arial" w:cs="Arial"/>
        </w:rPr>
      </w:pPr>
      <w:r>
        <w:rPr>
          <w:rFonts w:ascii="Arial" w:hAnsi="Arial" w:cs="Arial"/>
        </w:rPr>
        <w:t>Los condensadores cumplirán con las siguientes normas: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CEI 831 1 / 2</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UNE-EN 60831 1: “</w:t>
      </w:r>
      <w:r>
        <w:rPr>
          <w:rFonts w:ascii="Arial" w:hAnsi="Arial" w:cs="Arial"/>
          <w:i/>
        </w:rPr>
        <w:t>Condensadores de potencia autorregenerables a instalar en paralelo en redes de corriente alterna de tensión nominal inferior o igual a 1 000 V. Parte 1: Generalidades. Características de funcionamiento, ensayos y valores nominales. Prescripciones de seguridad. Guía de instalación y de explotación.”</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i/>
        </w:rPr>
      </w:pPr>
      <w:r>
        <w:rPr>
          <w:rFonts w:ascii="Arial" w:hAnsi="Arial" w:cs="Arial"/>
        </w:rPr>
        <w:t>UNE-EN 60831 1: “</w:t>
      </w:r>
      <w:r>
        <w:rPr>
          <w:rFonts w:ascii="Arial" w:hAnsi="Arial" w:cs="Arial"/>
          <w:i/>
        </w:rPr>
        <w:t>Condensadores de potencia autorregenerables a instalar en paralelo en redes de corriente alterna de tensión nominal inferior o igual a 1 000 V. Parte 2: Ensayos de envejecimiento, autorregeneración y destrucción.</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NF C 54-104</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VDE 0560-41</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ASA C 551</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CSA 22-2 N º 190</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Ensayos UL 810</w:t>
      </w:r>
    </w:p>
    <w:p w:rsidR="00C7085E" w:rsidRDefault="00C7085E" w:rsidP="00B71B1A">
      <w:pPr>
        <w:pStyle w:val="Prrafodelista"/>
        <w:numPr>
          <w:ilvl w:val="0"/>
          <w:numId w:val="27"/>
        </w:numPr>
        <w:spacing w:before="120" w:after="240"/>
        <w:ind w:left="714" w:right="-285" w:hanging="357"/>
        <w:rPr>
          <w:rFonts w:ascii="Arial" w:hAnsi="Arial" w:cs="Arial"/>
          <w:b/>
        </w:rPr>
      </w:pPr>
      <w:r>
        <w:rPr>
          <w:rFonts w:ascii="Arial" w:hAnsi="Arial" w:cs="Arial"/>
          <w:b/>
        </w:rPr>
        <w:t>Batería automática de condensadores</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 xml:space="preserve">Batería automática con control por procesador multifunción que permita como mínimo las programaciones 1:1:1 1:2:2. </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La batería dispondrá como protección general un interruptor automático magneto térmico 3P. Estará instalado en CGDBT y estará sobre dimensionado acorde a las prescripciones del REBT.</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Las baterías cumplirán con lo especificado en las normas CEI 439-1 y en la UNE-EN 60439: “</w:t>
      </w:r>
      <w:r>
        <w:rPr>
          <w:rFonts w:ascii="Arial" w:hAnsi="Arial" w:cs="Arial"/>
          <w:bCs/>
          <w:i/>
          <w:color w:val="000000"/>
          <w:shd w:val="clear" w:color="auto" w:fill="F9F9F9"/>
        </w:rPr>
        <w:t>Conjuntos de aparamenta de baja tensión. Parte 1: Reglas generales</w:t>
      </w:r>
      <w:r>
        <w:rPr>
          <w:rFonts w:ascii="Arial" w:hAnsi="Arial" w:cs="Arial"/>
          <w:bCs/>
          <w:color w:val="000000"/>
          <w:shd w:val="clear" w:color="auto" w:fill="F9F9F9"/>
        </w:rPr>
        <w:t>.”</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La batería automática dispondrá del nº de escalones necesario, para tener una capacidad real para conseguir un cosφ igual a la unidad, con la potencia de los equipos instalados, sin reservas.</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Las baterías de condensadores constarán de:</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lastRenderedPageBreak/>
        <w:t>Módulos en número variable según el número de escalones (especificar número, composición y programa de conexión del regulador).</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Módulos de Compensación (conjuntos indivisibles formados por base soporte +condensador + contactor + fusibles), independientes e intercambiables, conectados al embarrado general. Sus elementos constitutivos se definen a continuación.</w:t>
      </w:r>
    </w:p>
    <w:p w:rsidR="00C7085E" w:rsidRDefault="00C7085E" w:rsidP="00B71B1A">
      <w:pPr>
        <w:pStyle w:val="Prrafodelista"/>
        <w:numPr>
          <w:ilvl w:val="0"/>
          <w:numId w:val="28"/>
        </w:numPr>
        <w:autoSpaceDE w:val="0"/>
        <w:autoSpaceDN w:val="0"/>
        <w:adjustRightInd w:val="0"/>
        <w:spacing w:before="120" w:after="240"/>
        <w:ind w:left="1378" w:right="-285" w:hanging="357"/>
        <w:rPr>
          <w:rFonts w:ascii="Arial" w:hAnsi="Arial" w:cs="Arial"/>
        </w:rPr>
      </w:pPr>
      <w:r>
        <w:rPr>
          <w:rFonts w:ascii="Arial" w:hAnsi="Arial" w:cs="Arial"/>
          <w:lang w:eastAsia="es-ES"/>
        </w:rPr>
        <w:t>Condensadores</w:t>
      </w:r>
    </w:p>
    <w:tbl>
      <w:tblPr>
        <w:tblStyle w:val="Tablaconcuadrcula"/>
        <w:tblW w:w="0" w:type="auto"/>
        <w:tblInd w:w="1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4366"/>
      </w:tblGrid>
      <w:tr w:rsidR="00C7085E" w:rsidTr="00C7085E">
        <w:tc>
          <w:tcPr>
            <w:tcW w:w="3125" w:type="dxa"/>
            <w:hideMark/>
          </w:tcPr>
          <w:p w:rsidR="00C7085E" w:rsidRDefault="00C7085E" w:rsidP="00B71B1A">
            <w:pPr>
              <w:pStyle w:val="Prrafodelista"/>
              <w:numPr>
                <w:ilvl w:val="0"/>
                <w:numId w:val="29"/>
              </w:numPr>
              <w:autoSpaceDE w:val="0"/>
              <w:autoSpaceDN w:val="0"/>
              <w:adjustRightInd w:val="0"/>
              <w:spacing w:before="120" w:after="240"/>
              <w:ind w:left="357" w:right="-285" w:hanging="357"/>
              <w:rPr>
                <w:rFonts w:ascii="Arial" w:hAnsi="Arial" w:cs="Arial"/>
              </w:rPr>
            </w:pPr>
            <w:r>
              <w:rPr>
                <w:rFonts w:ascii="Arial" w:hAnsi="Arial" w:cs="Arial"/>
              </w:rPr>
              <w:t>Diélectrico:</w:t>
            </w:r>
          </w:p>
        </w:tc>
        <w:tc>
          <w:tcPr>
            <w:tcW w:w="4677" w:type="dxa"/>
            <w:hideMark/>
          </w:tcPr>
          <w:p w:rsidR="00C7085E" w:rsidRDefault="00C7085E" w:rsidP="00B71B1A">
            <w:pPr>
              <w:pStyle w:val="Prrafodelista"/>
              <w:autoSpaceDE w:val="0"/>
              <w:autoSpaceDN w:val="0"/>
              <w:adjustRightInd w:val="0"/>
              <w:spacing w:before="120" w:after="240"/>
              <w:ind w:left="0" w:right="-285"/>
              <w:rPr>
                <w:rFonts w:ascii="Arial" w:hAnsi="Arial" w:cs="Arial"/>
              </w:rPr>
            </w:pPr>
            <w:r>
              <w:rPr>
                <w:rFonts w:ascii="Arial" w:hAnsi="Arial" w:cs="Arial"/>
              </w:rPr>
              <w:t>Film aislante de polipropileno metalizado</w:t>
            </w:r>
          </w:p>
        </w:tc>
      </w:tr>
      <w:tr w:rsidR="00C7085E" w:rsidTr="00C7085E">
        <w:tc>
          <w:tcPr>
            <w:tcW w:w="3125" w:type="dxa"/>
            <w:hideMark/>
          </w:tcPr>
          <w:p w:rsidR="00C7085E" w:rsidRDefault="00C7085E" w:rsidP="00B71B1A">
            <w:pPr>
              <w:pStyle w:val="Prrafodelista"/>
              <w:numPr>
                <w:ilvl w:val="0"/>
                <w:numId w:val="29"/>
              </w:numPr>
              <w:autoSpaceDE w:val="0"/>
              <w:autoSpaceDN w:val="0"/>
              <w:adjustRightInd w:val="0"/>
              <w:spacing w:before="120" w:after="240"/>
              <w:ind w:left="357" w:right="-285" w:hanging="357"/>
              <w:rPr>
                <w:rFonts w:ascii="Arial" w:hAnsi="Arial" w:cs="Arial"/>
              </w:rPr>
            </w:pPr>
            <w:r>
              <w:rPr>
                <w:rFonts w:ascii="Arial" w:hAnsi="Arial" w:cs="Arial"/>
              </w:rPr>
              <w:t>Tipo</w:t>
            </w:r>
          </w:p>
        </w:tc>
        <w:tc>
          <w:tcPr>
            <w:tcW w:w="4677" w:type="dxa"/>
            <w:hideMark/>
          </w:tcPr>
          <w:p w:rsidR="00C7085E" w:rsidRDefault="00C7085E" w:rsidP="00B71B1A">
            <w:pPr>
              <w:pStyle w:val="Prrafodelista"/>
              <w:autoSpaceDE w:val="0"/>
              <w:autoSpaceDN w:val="0"/>
              <w:adjustRightInd w:val="0"/>
              <w:spacing w:before="120" w:after="240"/>
              <w:ind w:left="0" w:right="-285"/>
              <w:rPr>
                <w:rFonts w:ascii="Arial" w:hAnsi="Arial" w:cs="Arial"/>
              </w:rPr>
            </w:pPr>
            <w:r>
              <w:rPr>
                <w:rFonts w:ascii="Arial" w:hAnsi="Arial" w:cs="Arial"/>
              </w:rPr>
              <w:t>Seco sin líquido impregnante</w:t>
            </w:r>
          </w:p>
        </w:tc>
      </w:tr>
      <w:tr w:rsidR="00C7085E" w:rsidTr="00C7085E">
        <w:tc>
          <w:tcPr>
            <w:tcW w:w="3125" w:type="dxa"/>
            <w:hideMark/>
          </w:tcPr>
          <w:p w:rsidR="00C7085E" w:rsidRDefault="00C7085E" w:rsidP="00B71B1A">
            <w:pPr>
              <w:pStyle w:val="Prrafodelista"/>
              <w:numPr>
                <w:ilvl w:val="0"/>
                <w:numId w:val="29"/>
              </w:numPr>
              <w:autoSpaceDE w:val="0"/>
              <w:autoSpaceDN w:val="0"/>
              <w:adjustRightInd w:val="0"/>
              <w:spacing w:before="120" w:after="240"/>
              <w:ind w:left="357" w:right="-285" w:hanging="357"/>
              <w:rPr>
                <w:rFonts w:ascii="Arial" w:hAnsi="Arial" w:cs="Arial"/>
              </w:rPr>
            </w:pPr>
            <w:r>
              <w:rPr>
                <w:rFonts w:ascii="Arial" w:hAnsi="Arial" w:cs="Arial"/>
              </w:rPr>
              <w:t>Ecológico</w:t>
            </w:r>
          </w:p>
        </w:tc>
        <w:tc>
          <w:tcPr>
            <w:tcW w:w="4677" w:type="dxa"/>
            <w:hideMark/>
          </w:tcPr>
          <w:p w:rsidR="00C7085E" w:rsidRDefault="00C7085E" w:rsidP="00B71B1A">
            <w:pPr>
              <w:pStyle w:val="Prrafodelista"/>
              <w:autoSpaceDE w:val="0"/>
              <w:autoSpaceDN w:val="0"/>
              <w:adjustRightInd w:val="0"/>
              <w:spacing w:before="120" w:after="240"/>
              <w:ind w:left="0" w:right="-285"/>
              <w:rPr>
                <w:rFonts w:ascii="Arial" w:hAnsi="Arial" w:cs="Arial"/>
              </w:rPr>
            </w:pPr>
            <w:r>
              <w:rPr>
                <w:rFonts w:ascii="Arial" w:hAnsi="Arial" w:cs="Arial"/>
              </w:rPr>
              <w:t>Biodegradable</w:t>
            </w:r>
          </w:p>
        </w:tc>
      </w:tr>
      <w:tr w:rsidR="00C7085E" w:rsidTr="00C7085E">
        <w:tc>
          <w:tcPr>
            <w:tcW w:w="3125" w:type="dxa"/>
            <w:hideMark/>
          </w:tcPr>
          <w:p w:rsidR="00C7085E" w:rsidRDefault="00C7085E" w:rsidP="00B71B1A">
            <w:pPr>
              <w:pStyle w:val="Prrafodelista"/>
              <w:numPr>
                <w:ilvl w:val="0"/>
                <w:numId w:val="29"/>
              </w:numPr>
              <w:autoSpaceDE w:val="0"/>
              <w:autoSpaceDN w:val="0"/>
              <w:adjustRightInd w:val="0"/>
              <w:spacing w:before="120" w:after="240"/>
              <w:ind w:left="357" w:right="-285" w:hanging="357"/>
              <w:rPr>
                <w:rFonts w:ascii="Arial" w:hAnsi="Arial" w:cs="Arial"/>
              </w:rPr>
            </w:pPr>
            <w:r>
              <w:rPr>
                <w:rFonts w:ascii="Arial" w:hAnsi="Arial" w:cs="Arial"/>
              </w:rPr>
              <w:t>No contiene PCB</w:t>
            </w:r>
          </w:p>
        </w:tc>
        <w:tc>
          <w:tcPr>
            <w:tcW w:w="4677" w:type="dxa"/>
          </w:tcPr>
          <w:p w:rsidR="00C7085E" w:rsidRDefault="00C7085E" w:rsidP="00B71B1A">
            <w:pPr>
              <w:pStyle w:val="Prrafodelista"/>
              <w:autoSpaceDE w:val="0"/>
              <w:autoSpaceDN w:val="0"/>
              <w:adjustRightInd w:val="0"/>
              <w:spacing w:before="120" w:after="240"/>
              <w:ind w:left="0" w:right="-285"/>
              <w:rPr>
                <w:rFonts w:ascii="Arial" w:hAnsi="Arial" w:cs="Arial"/>
              </w:rPr>
            </w:pPr>
          </w:p>
        </w:tc>
      </w:tr>
      <w:tr w:rsidR="00C7085E" w:rsidTr="00C7085E">
        <w:tc>
          <w:tcPr>
            <w:tcW w:w="3125" w:type="dxa"/>
            <w:hideMark/>
          </w:tcPr>
          <w:p w:rsidR="00C7085E" w:rsidRDefault="00C7085E" w:rsidP="00B71B1A">
            <w:pPr>
              <w:pStyle w:val="Prrafodelista"/>
              <w:numPr>
                <w:ilvl w:val="0"/>
                <w:numId w:val="29"/>
              </w:numPr>
              <w:autoSpaceDE w:val="0"/>
              <w:autoSpaceDN w:val="0"/>
              <w:adjustRightInd w:val="0"/>
              <w:spacing w:before="120" w:after="240"/>
              <w:ind w:left="357" w:right="-285" w:hanging="357"/>
              <w:rPr>
                <w:rFonts w:ascii="Arial" w:hAnsi="Arial" w:cs="Arial"/>
              </w:rPr>
            </w:pPr>
            <w:r>
              <w:rPr>
                <w:rFonts w:ascii="Arial" w:hAnsi="Arial" w:cs="Arial"/>
              </w:rPr>
              <w:t>Pérdidas extrarreducidas</w:t>
            </w:r>
          </w:p>
        </w:tc>
        <w:tc>
          <w:tcPr>
            <w:tcW w:w="4677" w:type="dxa"/>
            <w:hideMark/>
          </w:tcPr>
          <w:p w:rsidR="00C7085E" w:rsidRDefault="00C7085E" w:rsidP="00B71B1A">
            <w:pPr>
              <w:pStyle w:val="Prrafodelista"/>
              <w:autoSpaceDE w:val="0"/>
              <w:autoSpaceDN w:val="0"/>
              <w:adjustRightInd w:val="0"/>
              <w:spacing w:before="120" w:after="240"/>
              <w:ind w:left="0" w:right="-285"/>
              <w:rPr>
                <w:rFonts w:ascii="Arial" w:hAnsi="Arial" w:cs="Arial"/>
              </w:rPr>
            </w:pPr>
            <w:r>
              <w:rPr>
                <w:rFonts w:ascii="Arial" w:hAnsi="Arial" w:cs="Arial"/>
              </w:rPr>
              <w:t>0,5 E/KVAr</w:t>
            </w:r>
          </w:p>
        </w:tc>
      </w:tr>
      <w:tr w:rsidR="00C7085E" w:rsidTr="00C7085E">
        <w:tc>
          <w:tcPr>
            <w:tcW w:w="3125" w:type="dxa"/>
            <w:hideMark/>
          </w:tcPr>
          <w:p w:rsidR="00C7085E" w:rsidRDefault="00C7085E" w:rsidP="00B71B1A">
            <w:pPr>
              <w:pStyle w:val="Prrafodelista"/>
              <w:numPr>
                <w:ilvl w:val="0"/>
                <w:numId w:val="29"/>
              </w:numPr>
              <w:autoSpaceDE w:val="0"/>
              <w:autoSpaceDN w:val="0"/>
              <w:adjustRightInd w:val="0"/>
              <w:spacing w:before="120" w:after="240"/>
              <w:ind w:left="357" w:right="-285" w:hanging="357"/>
              <w:rPr>
                <w:rFonts w:ascii="Arial" w:hAnsi="Arial" w:cs="Arial"/>
              </w:rPr>
            </w:pPr>
            <w:r>
              <w:rPr>
                <w:rFonts w:ascii="Arial" w:hAnsi="Arial" w:cs="Arial"/>
              </w:rPr>
              <w:t>Conforme a Normas</w:t>
            </w:r>
          </w:p>
        </w:tc>
        <w:tc>
          <w:tcPr>
            <w:tcW w:w="4677" w:type="dxa"/>
            <w:hideMark/>
          </w:tcPr>
          <w:p w:rsidR="00C7085E" w:rsidRDefault="00C7085E" w:rsidP="00B71B1A">
            <w:pPr>
              <w:pStyle w:val="Prrafodelista"/>
              <w:autoSpaceDE w:val="0"/>
              <w:autoSpaceDN w:val="0"/>
              <w:adjustRightInd w:val="0"/>
              <w:spacing w:before="120" w:after="240"/>
              <w:ind w:left="0" w:right="-285"/>
              <w:rPr>
                <w:rFonts w:ascii="Arial" w:hAnsi="Arial" w:cs="Arial"/>
              </w:rPr>
            </w:pPr>
            <w:r>
              <w:rPr>
                <w:rFonts w:ascii="Arial" w:hAnsi="Arial" w:cs="Arial"/>
              </w:rPr>
              <w:t>CEI 831 1 / 2</w:t>
            </w:r>
          </w:p>
        </w:tc>
      </w:tr>
      <w:tr w:rsidR="00C7085E" w:rsidTr="00C7085E">
        <w:tc>
          <w:tcPr>
            <w:tcW w:w="3125" w:type="dxa"/>
            <w:hideMark/>
          </w:tcPr>
          <w:p w:rsidR="00C7085E" w:rsidRDefault="00C7085E" w:rsidP="00B71B1A">
            <w:pPr>
              <w:pStyle w:val="Prrafodelista"/>
              <w:numPr>
                <w:ilvl w:val="0"/>
                <w:numId w:val="29"/>
              </w:numPr>
              <w:autoSpaceDE w:val="0"/>
              <w:autoSpaceDN w:val="0"/>
              <w:adjustRightInd w:val="0"/>
              <w:spacing w:before="120" w:after="240"/>
              <w:ind w:left="357" w:right="-285" w:hanging="357"/>
              <w:rPr>
                <w:rFonts w:ascii="Arial" w:hAnsi="Arial" w:cs="Arial"/>
              </w:rPr>
            </w:pPr>
            <w:r>
              <w:rPr>
                <w:rFonts w:ascii="Arial" w:hAnsi="Arial" w:cs="Arial"/>
              </w:rPr>
              <w:t>Protección antiexplosión</w:t>
            </w:r>
          </w:p>
        </w:tc>
        <w:tc>
          <w:tcPr>
            <w:tcW w:w="4677" w:type="dxa"/>
            <w:hideMark/>
          </w:tcPr>
          <w:p w:rsidR="00C7085E" w:rsidRDefault="00C7085E" w:rsidP="00B71B1A">
            <w:pPr>
              <w:pStyle w:val="Prrafodelista"/>
              <w:autoSpaceDE w:val="0"/>
              <w:autoSpaceDN w:val="0"/>
              <w:adjustRightInd w:val="0"/>
              <w:spacing w:before="120" w:after="240"/>
              <w:ind w:left="0" w:right="-285"/>
              <w:rPr>
                <w:rFonts w:ascii="Arial" w:hAnsi="Arial" w:cs="Arial"/>
              </w:rPr>
            </w:pPr>
            <w:r>
              <w:rPr>
                <w:rFonts w:ascii="Arial" w:hAnsi="Arial" w:cs="Arial"/>
              </w:rPr>
              <w:t>Por membranas de sobrepresión coordinada con el fusible interno en cada elemento monofásico.</w:t>
            </w:r>
          </w:p>
        </w:tc>
      </w:tr>
      <w:tr w:rsidR="00C7085E" w:rsidTr="00C7085E">
        <w:tc>
          <w:tcPr>
            <w:tcW w:w="3125" w:type="dxa"/>
            <w:hideMark/>
          </w:tcPr>
          <w:p w:rsidR="00C7085E" w:rsidRDefault="00C7085E" w:rsidP="00B71B1A">
            <w:pPr>
              <w:pStyle w:val="Prrafodelista"/>
              <w:numPr>
                <w:ilvl w:val="0"/>
                <w:numId w:val="29"/>
              </w:numPr>
              <w:autoSpaceDE w:val="0"/>
              <w:autoSpaceDN w:val="0"/>
              <w:adjustRightInd w:val="0"/>
              <w:spacing w:before="120" w:after="240"/>
              <w:ind w:left="357" w:right="-285" w:hanging="357"/>
              <w:rPr>
                <w:rFonts w:ascii="Arial" w:hAnsi="Arial" w:cs="Arial"/>
              </w:rPr>
            </w:pPr>
            <w:r>
              <w:rPr>
                <w:rFonts w:ascii="Arial" w:hAnsi="Arial" w:cs="Arial"/>
              </w:rPr>
              <w:t>Resistencias</w:t>
            </w:r>
          </w:p>
        </w:tc>
        <w:tc>
          <w:tcPr>
            <w:tcW w:w="4677" w:type="dxa"/>
            <w:hideMark/>
          </w:tcPr>
          <w:p w:rsidR="00C7085E" w:rsidRDefault="00C7085E" w:rsidP="00B71B1A">
            <w:pPr>
              <w:pStyle w:val="Prrafodelista"/>
              <w:autoSpaceDE w:val="0"/>
              <w:autoSpaceDN w:val="0"/>
              <w:adjustRightInd w:val="0"/>
              <w:spacing w:before="120" w:after="240"/>
              <w:ind w:left="0" w:right="-285"/>
              <w:rPr>
                <w:rFonts w:ascii="Arial" w:hAnsi="Arial" w:cs="Arial"/>
              </w:rPr>
            </w:pPr>
            <w:r>
              <w:rPr>
                <w:rFonts w:ascii="Arial" w:hAnsi="Arial" w:cs="Arial"/>
              </w:rPr>
              <w:t>De descarga rápida en cada elemento monofásico.</w:t>
            </w:r>
          </w:p>
        </w:tc>
      </w:tr>
    </w:tbl>
    <w:p w:rsidR="00C7085E" w:rsidRDefault="00C7085E" w:rsidP="00B71B1A">
      <w:pPr>
        <w:pStyle w:val="Prrafodelista"/>
        <w:numPr>
          <w:ilvl w:val="0"/>
          <w:numId w:val="28"/>
        </w:numPr>
        <w:autoSpaceDE w:val="0"/>
        <w:autoSpaceDN w:val="0"/>
        <w:adjustRightInd w:val="0"/>
        <w:spacing w:before="120" w:after="240"/>
        <w:ind w:left="1378" w:right="-285" w:hanging="357"/>
        <w:rPr>
          <w:rFonts w:ascii="Arial" w:hAnsi="Arial" w:cs="Arial"/>
        </w:rPr>
      </w:pPr>
      <w:r>
        <w:rPr>
          <w:rFonts w:ascii="Arial" w:hAnsi="Arial" w:cs="Arial"/>
          <w:lang w:eastAsia="es-ES"/>
        </w:rPr>
        <w:t>Contactor</w:t>
      </w:r>
    </w:p>
    <w:tbl>
      <w:tblPr>
        <w:tblStyle w:val="Tablaconcuadrcula"/>
        <w:tblW w:w="0" w:type="auto"/>
        <w:tblInd w:w="1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4434"/>
      </w:tblGrid>
      <w:tr w:rsidR="00C7085E" w:rsidTr="00C7085E">
        <w:tc>
          <w:tcPr>
            <w:tcW w:w="3125" w:type="dxa"/>
          </w:tcPr>
          <w:p w:rsidR="00C7085E" w:rsidRDefault="00C7085E" w:rsidP="00B71B1A">
            <w:pPr>
              <w:spacing w:before="120" w:after="240" w:line="276" w:lineRule="auto"/>
              <w:ind w:right="-285"/>
              <w:rPr>
                <w:rFonts w:cs="Arial"/>
              </w:rPr>
            </w:pPr>
          </w:p>
        </w:tc>
        <w:tc>
          <w:tcPr>
            <w:tcW w:w="4677" w:type="dxa"/>
            <w:hideMark/>
          </w:tcPr>
          <w:p w:rsidR="00C7085E" w:rsidRDefault="00C7085E" w:rsidP="00B71B1A">
            <w:pPr>
              <w:pStyle w:val="Prrafodelista"/>
              <w:autoSpaceDE w:val="0"/>
              <w:autoSpaceDN w:val="0"/>
              <w:adjustRightInd w:val="0"/>
              <w:spacing w:before="120" w:after="240"/>
              <w:ind w:left="0" w:right="-285"/>
              <w:rPr>
                <w:rFonts w:ascii="Arial" w:hAnsi="Arial" w:cs="Arial"/>
              </w:rPr>
            </w:pPr>
            <w:r>
              <w:rPr>
                <w:rFonts w:ascii="Arial" w:hAnsi="Arial" w:cs="Arial"/>
              </w:rPr>
              <w:t>Especialmente diseñado para la maniobra de condensadores con resistencias de preinserción para limitar la corriente de conexión.</w:t>
            </w:r>
          </w:p>
        </w:tc>
      </w:tr>
    </w:tbl>
    <w:p w:rsidR="00C7085E" w:rsidRDefault="00C7085E" w:rsidP="00B71B1A">
      <w:pPr>
        <w:pStyle w:val="Prrafodelista"/>
        <w:numPr>
          <w:ilvl w:val="0"/>
          <w:numId w:val="28"/>
        </w:numPr>
        <w:autoSpaceDE w:val="0"/>
        <w:autoSpaceDN w:val="0"/>
        <w:adjustRightInd w:val="0"/>
        <w:spacing w:before="120" w:after="240"/>
        <w:ind w:left="1378" w:right="-285" w:hanging="357"/>
        <w:rPr>
          <w:rFonts w:ascii="Arial" w:hAnsi="Arial" w:cs="Arial"/>
        </w:rPr>
      </w:pPr>
      <w:r>
        <w:rPr>
          <w:rFonts w:ascii="Arial" w:hAnsi="Arial" w:cs="Arial"/>
        </w:rPr>
        <w:t>Fusibles A.P.R.</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Embarrado general formado por barras de cobre electrolítico estañado.</w:t>
      </w:r>
    </w:p>
    <w:p w:rsidR="00C7085E" w:rsidRDefault="00C7085E" w:rsidP="00B71B1A">
      <w:pPr>
        <w:pStyle w:val="Prrafodelista"/>
        <w:numPr>
          <w:ilvl w:val="0"/>
          <w:numId w:val="28"/>
        </w:numPr>
        <w:autoSpaceDE w:val="0"/>
        <w:autoSpaceDN w:val="0"/>
        <w:adjustRightInd w:val="0"/>
        <w:spacing w:before="120" w:after="240"/>
        <w:ind w:left="1378" w:right="-285" w:hanging="357"/>
        <w:rPr>
          <w:rFonts w:ascii="Arial" w:hAnsi="Arial" w:cs="Arial"/>
        </w:rPr>
      </w:pPr>
      <w:r>
        <w:rPr>
          <w:rFonts w:ascii="Arial" w:hAnsi="Arial" w:cs="Arial"/>
        </w:rPr>
        <w:t>Intensidad nominal a 40 ºC</w:t>
      </w:r>
    </w:p>
    <w:p w:rsidR="00C7085E" w:rsidRDefault="00C7085E" w:rsidP="00B71B1A">
      <w:pPr>
        <w:pStyle w:val="Prrafodelista"/>
        <w:numPr>
          <w:ilvl w:val="0"/>
          <w:numId w:val="28"/>
        </w:numPr>
        <w:autoSpaceDE w:val="0"/>
        <w:autoSpaceDN w:val="0"/>
        <w:adjustRightInd w:val="0"/>
        <w:spacing w:before="120" w:after="240"/>
        <w:ind w:left="1378" w:right="-285" w:hanging="357"/>
        <w:rPr>
          <w:rFonts w:ascii="Arial" w:hAnsi="Arial" w:cs="Arial"/>
        </w:rPr>
      </w:pPr>
      <w:r>
        <w:rPr>
          <w:rFonts w:ascii="Arial" w:hAnsi="Arial" w:cs="Arial"/>
        </w:rPr>
        <w:t>Dimensiones de las barras (mm)</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Regulador de energía reactiva compuesto por 12 o 6 escalones con control por procesador multifunción que permita como mínimo la programación 1:1:1 1:2:2 y display digital, siendo su grado de protección IP-54.</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Tipo de conductores: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 xml:space="preserve">Circuito de potencia: </w:t>
      </w:r>
      <w:r>
        <w:rPr>
          <w:rFonts w:ascii="Arial" w:hAnsi="Arial" w:cs="Arial"/>
        </w:rPr>
        <w:tab/>
      </w:r>
      <w:r>
        <w:rPr>
          <w:rFonts w:ascii="Arial" w:hAnsi="Arial" w:cs="Arial"/>
        </w:rPr>
        <w:tab/>
        <w:t>XLPE 0,6/1 KV.</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Circuito de mando:</w:t>
      </w:r>
      <w:r>
        <w:rPr>
          <w:rFonts w:ascii="Arial" w:hAnsi="Arial" w:cs="Arial"/>
        </w:rPr>
        <w:tab/>
      </w:r>
      <w:r>
        <w:rPr>
          <w:rFonts w:ascii="Arial" w:hAnsi="Arial" w:cs="Arial"/>
        </w:rPr>
        <w:tab/>
        <w:t>Cable libre de halógenos 750 v H07Z-K-RV</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Envolvente:</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Grado de protección:</w:t>
      </w:r>
      <w:r>
        <w:rPr>
          <w:rFonts w:ascii="Arial" w:hAnsi="Arial" w:cs="Arial"/>
        </w:rPr>
        <w:tab/>
      </w:r>
      <w:r>
        <w:rPr>
          <w:rFonts w:ascii="Arial" w:hAnsi="Arial" w:cs="Arial"/>
        </w:rPr>
        <w:tab/>
        <w:t>IP-54</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Color: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RAL 7032</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Inductancia antiarmónicos: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lastRenderedPageBreak/>
        <w:t>Se preverán las correspondientes resistencias antiarmónicos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Se realizará un análisis de potencias generadoras de armónicos para la preselección de la reactancia de antiarmónicos.</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Las baterías serán ampliables hasta la capacidad máxima del regulador añadiendo más módulos a los ya existentes. Para ello dispondrán de todos los elementos y accesorios necesarios para ser ampliada en caso de necesidad.</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Se dotará a los borneros de los accesorios necesarios, contemplando el número y sección de los conductores para facilitar la conexión e instalación de los mismos.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Ejecución</w:t>
      </w:r>
    </w:p>
    <w:p w:rsidR="00C7085E" w:rsidRDefault="00C7085E" w:rsidP="00B71B1A">
      <w:pPr>
        <w:spacing w:before="120" w:after="240" w:line="276" w:lineRule="auto"/>
        <w:ind w:right="-285"/>
      </w:pPr>
      <w:r>
        <w:t>Las baterías corresponden en cuanto a sus funciones a lo especificado en el proyecto correspondiente.</w:t>
      </w:r>
    </w:p>
    <w:p w:rsidR="00C7085E" w:rsidRDefault="00C7085E" w:rsidP="00B71B1A">
      <w:pPr>
        <w:spacing w:before="120" w:after="240" w:line="276" w:lineRule="auto"/>
        <w:ind w:right="-285"/>
      </w:pPr>
      <w:r>
        <w:t>Las baterías se situarán en los lugares y en el orden indicado en los planos del proyecto.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El fabricante antes del suministro del conjunto de verificado, realizará las verificaciones individuales según la norma UNE EN 61439:</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bookmarkStart w:id="802" w:name="_Toc392586276"/>
      <w:r>
        <w:t>Los módulos de corrección de factor de potencia se abonarán, atendiendo a su potencia nominal (kVAr) por aplicación del precio que corresponda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03" w:name="_Toc414022107"/>
      <w:bookmarkStart w:id="804" w:name="_Toc448741504"/>
      <w:r>
        <w:t>Centros de control de motores (CCM)</w:t>
      </w:r>
      <w:bookmarkEnd w:id="802"/>
      <w:bookmarkEnd w:id="803"/>
      <w:bookmarkEnd w:id="804"/>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Características generales</w:t>
      </w:r>
    </w:p>
    <w:p w:rsidR="00C7085E" w:rsidRDefault="00C7085E" w:rsidP="00B71B1A">
      <w:pPr>
        <w:spacing w:before="120" w:after="240" w:line="276" w:lineRule="auto"/>
        <w:ind w:right="-285"/>
      </w:pPr>
      <w:r>
        <w:t>Estos cuadros son los que, alimentándose directamente del Cuadro de Distribución General de Baja Tensión (CGDBT), alojan toda la aparamenta necesaria para alimentar, controlar, señalizar, enviar y recibir señales para el mando desde el autómata, etc., del grupo de motores sobre los cuales tiene influencia. Asimismo, se aloja la aparamenta precisa para alimentar otros cuadros auxiliares con los que está relacionado: cuadros en puentes grúa, equipos de control y regulación, equipos de preparación de reactivos, etc.</w:t>
      </w:r>
    </w:p>
    <w:p w:rsidR="00C7085E" w:rsidRDefault="00C7085E" w:rsidP="00B71B1A">
      <w:pPr>
        <w:spacing w:before="120" w:after="240" w:line="276" w:lineRule="auto"/>
        <w:ind w:right="-285"/>
      </w:pPr>
      <w:r>
        <w:t>El Centro Control de Motores (en lo sucesivo CCM), será  un Conjunto Verificado, según la norma UNE-EN 61439.</w:t>
      </w:r>
    </w:p>
    <w:p w:rsidR="00C7085E" w:rsidRDefault="00C7085E" w:rsidP="00B71B1A">
      <w:pPr>
        <w:spacing w:before="120" w:after="240" w:line="276" w:lineRule="auto"/>
        <w:ind w:right="-285"/>
      </w:pPr>
      <w:r>
        <w:t>En la fabricación del CCM  atendiendo  la norma UNE-EN 61439, se contemplarán las siguientes figuras que intervendrán en su fabricación:</w:t>
      </w:r>
    </w:p>
    <w:p w:rsidR="00C7085E" w:rsidRDefault="00C7085E" w:rsidP="00B71B1A">
      <w:pPr>
        <w:spacing w:before="120" w:after="240" w:line="276" w:lineRule="auto"/>
        <w:ind w:right="-285"/>
        <w:rPr>
          <w:rFonts w:cs="Arial"/>
          <w:u w:val="single"/>
        </w:rPr>
      </w:pPr>
      <w:r>
        <w:rPr>
          <w:rFonts w:cs="Arial"/>
          <w:u w:val="single"/>
        </w:rPr>
        <w:t xml:space="preserve">- Fabricante Original </w:t>
      </w:r>
    </w:p>
    <w:p w:rsidR="00C7085E" w:rsidRDefault="00C7085E" w:rsidP="00B71B1A">
      <w:pPr>
        <w:spacing w:before="120" w:after="240" w:line="276" w:lineRule="auto"/>
        <w:ind w:right="-285"/>
        <w:rPr>
          <w:i/>
        </w:rPr>
      </w:pPr>
      <w:r>
        <w:rPr>
          <w:i/>
        </w:rPr>
        <w:t xml:space="preserve">Organización que lleva a cabo el diseño original y las verificaciones asociadas a un conjunto de aparamenta de acuerdo a la norma aplicable a dicho conjunto. </w:t>
      </w:r>
    </w:p>
    <w:p w:rsidR="00C7085E" w:rsidRDefault="00C7085E" w:rsidP="00B71B1A">
      <w:pPr>
        <w:keepNext/>
        <w:keepLines/>
        <w:spacing w:before="120" w:after="240" w:line="276" w:lineRule="auto"/>
        <w:ind w:right="-285"/>
        <w:rPr>
          <w:rFonts w:cs="Arial"/>
          <w:u w:val="single"/>
        </w:rPr>
      </w:pPr>
      <w:r>
        <w:rPr>
          <w:rFonts w:cs="Arial"/>
          <w:u w:val="single"/>
        </w:rPr>
        <w:lastRenderedPageBreak/>
        <w:t xml:space="preserve">- Fabricante del Conjunto </w:t>
      </w:r>
    </w:p>
    <w:p w:rsidR="00C7085E" w:rsidRDefault="00C7085E" w:rsidP="00B71B1A">
      <w:pPr>
        <w:keepNext/>
        <w:keepLines/>
        <w:spacing w:before="120" w:after="240" w:line="276" w:lineRule="auto"/>
        <w:ind w:right="-285"/>
        <w:rPr>
          <w:i/>
        </w:rPr>
      </w:pPr>
      <w:r>
        <w:rPr>
          <w:i/>
        </w:rPr>
        <w:t>Organización que toma la responsabilidad del conjunto completo.</w:t>
      </w:r>
    </w:p>
    <w:p w:rsidR="00C7085E" w:rsidRDefault="00C7085E" w:rsidP="00B71B1A">
      <w:pPr>
        <w:spacing w:before="120" w:after="240" w:line="276" w:lineRule="auto"/>
        <w:ind w:right="-285"/>
      </w:pPr>
      <w:r>
        <w:t>Para la fabricación del CCM, tanto el “Fabricante Original” como el “Fabricante del Conjunto” serán la misma organización.</w:t>
      </w:r>
    </w:p>
    <w:p w:rsidR="00C7085E" w:rsidRDefault="00C7085E" w:rsidP="00B71B1A">
      <w:pPr>
        <w:spacing w:before="120" w:after="240" w:line="276" w:lineRule="auto"/>
        <w:ind w:right="-285"/>
      </w:pPr>
      <w:r>
        <w:t>Se presupuestarán los Centros de Control de Motores (en lo sucesivo CCM) que se precisen y que alimentarán a las distintas zonas de la instalación. Se instalarán preferentemente en una sala independiente convenientemente ventilada.</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keepNext/>
        <w:spacing w:before="120" w:after="240" w:line="276" w:lineRule="auto"/>
        <w:ind w:right="-285"/>
      </w:pPr>
      <w:r>
        <w:t>Los CCM serán de tipo autoportante, para montaje sobre suelo y de diseño normalizado en ejecución extraíble, estará formado por columnas construidas con chapa de acero galvanizada, plegada y laminada en frío de dos milímetros (2 mm) de espesor, donde se ubicarán, el módulo de acometida, en colocado en un extremo del conjunto y los diferentes módulos de salidas a receptores.</w:t>
      </w:r>
    </w:p>
    <w:p w:rsidR="00C7085E" w:rsidRDefault="00C7085E" w:rsidP="00B71B1A">
      <w:pPr>
        <w:spacing w:before="120" w:after="240" w:line="276" w:lineRule="auto"/>
        <w:ind w:right="-285"/>
      </w:pPr>
      <w:r>
        <w:t>La forma de compartimentación del CCM será como mínimo 4a en la columna de acometida y 3b en las columnas de salida, según norma UNE-EN 61439, y estará diseñado para soportar los efectos electrodinámicos producidos por cortocircuitos.</w:t>
      </w:r>
    </w:p>
    <w:p w:rsidR="00C7085E" w:rsidRDefault="00C7085E" w:rsidP="00B71B1A">
      <w:pPr>
        <w:spacing w:before="120" w:after="240" w:line="276" w:lineRule="auto"/>
        <w:ind w:right="-285"/>
      </w:pPr>
      <w:r>
        <w:t>El diseño eléctrico de los circuitos y sus diferentes configuraciones eléctricas, serán las que determine la Dirección de Obra.</w:t>
      </w:r>
    </w:p>
    <w:p w:rsidR="00C7085E" w:rsidRDefault="00C7085E" w:rsidP="00B71B1A">
      <w:pPr>
        <w:spacing w:before="120" w:after="240" w:line="276" w:lineRule="auto"/>
        <w:ind w:right="-285"/>
      </w:pPr>
      <w:r>
        <w:t xml:space="preserve">El grado de protección será IP-547. Todas las partes metálicas de la envolvente se protegerán contra la corrosión mediante un proceso de desengrasado, fosfatado, imprimación y capa de pintura epoxi secada al horno. El espesor mínimo de pintura seca aplicada no debe ser inferior a cien micras (100 </w:t>
      </w:r>
      <w:r>
        <w:rPr>
          <w:rFonts w:cs="Arial"/>
        </w:rPr>
        <w:t>µ</w:t>
      </w:r>
      <w:r>
        <w:t>m). El color será el que en su día determine Canal de Isabel II Gestión.</w:t>
      </w:r>
    </w:p>
    <w:p w:rsidR="00C7085E" w:rsidRDefault="00C7085E" w:rsidP="00B71B1A">
      <w:pPr>
        <w:spacing w:before="120" w:after="240" w:line="276" w:lineRule="auto"/>
        <w:ind w:right="-285"/>
      </w:pPr>
      <w:r>
        <w:t>La fabricación del cuadro estará condicionada a la aprobación por parte de Canal de Isabel II Gestión de los esquemas eléctricos del mismo. Dichos esquemas se irán actualizando si hubiera cambios en obra y puesta en marcha. Lo anterior no eximirá al fabricante de su responsabilidad referente al cumplimiento de normas y reglamentos aplicables.</w:t>
      </w:r>
    </w:p>
    <w:p w:rsidR="00C7085E" w:rsidRDefault="00C7085E" w:rsidP="00B71B1A">
      <w:pPr>
        <w:spacing w:before="120" w:after="240" w:line="276" w:lineRule="auto"/>
        <w:ind w:right="-285"/>
      </w:pPr>
      <w:r>
        <w:t>Los esquemas mencionados incluirán planos del frontal del cuadro eléctrico con dimensiones, donde aparecerán pulsadores, indicadores, sinóptico, etc. Asimismo incluirán unifilar general de la instalación con características eléctricas de cada equipo, protecciones principales y secciones de los cables de fuerza. Los esquemas desarrollados llegarán hasta el motor o receptor de que se trate, indicando secciones de cables y bornas y especificando las principales características eléctricas del receptor. Al final de la colección de esquemas se añadirá una lista de materiales con la descripción de marca y modelo, o similar, con principales características eléctricas.</w:t>
      </w:r>
    </w:p>
    <w:p w:rsidR="00C7085E" w:rsidRDefault="00C7085E" w:rsidP="00B71B1A">
      <w:pPr>
        <w:spacing w:before="120" w:after="240" w:line="276" w:lineRule="auto"/>
        <w:ind w:right="-285"/>
      </w:pPr>
      <w:r>
        <w:t xml:space="preserve">Serán montados completamente en fábrica, lo cual incluirá el montaje y cableado </w:t>
      </w:r>
      <w:r>
        <w:lastRenderedPageBreak/>
        <w:t>completo así como un regletero intermedio, donde se conectarán todas las señales de entrada al autómata y salida desde el autómata, de tal manera que en obra solamente sea necesario la instalación de los cuadros y las conexiones de entrada y salida.</w:t>
      </w:r>
    </w:p>
    <w:p w:rsidR="00C7085E" w:rsidRDefault="00C7085E" w:rsidP="00B71B1A">
      <w:pPr>
        <w:spacing w:before="120" w:after="240" w:line="276" w:lineRule="auto"/>
        <w:ind w:right="-285"/>
      </w:pPr>
      <w:r>
        <w:t>Los CCM serán modulares, contando con una columna de acometida, situada en un extremo, y un máximo de seis (6) diferentes columnas de salida. Cada una de éstas se dividirá en varios cubículos extraíbles.</w:t>
      </w:r>
    </w:p>
    <w:p w:rsidR="00C7085E" w:rsidRDefault="00C7085E" w:rsidP="00B71B1A">
      <w:pPr>
        <w:spacing w:before="120" w:after="240" w:line="276" w:lineRule="auto"/>
        <w:ind w:right="-285"/>
      </w:pPr>
      <w:r>
        <w:t>En los CCM se dejará como reserva el equivalente al veinticinco por ciento (25%) de la potencia instalada. Se distribuirá uniformemente en la superficie utilizada. Estas reservas, constarán de las unidades extraíbles con todos los elementos mecánicos instalados, sin aparamenta eléctrica. Del mismo modo, se deberán tener en cuenta en la columna de acometida, salidas tetrapolares y bipolares de reserva, así como el espacio de reserva para incorporar futuras alimentaciones directas.</w:t>
      </w:r>
    </w:p>
    <w:p w:rsidR="00C7085E" w:rsidRDefault="00C7085E" w:rsidP="00B71B1A">
      <w:pPr>
        <w:spacing w:before="120" w:after="240" w:line="276" w:lineRule="auto"/>
        <w:ind w:right="-285"/>
      </w:pPr>
      <w:r>
        <w:t>El mando de todos los interruptores automáticos será accesible desde el exterior, sin que se precise abrir las puertas para conectarlos a desconectarlos.</w:t>
      </w:r>
    </w:p>
    <w:p w:rsidR="00C7085E" w:rsidRDefault="00C7085E" w:rsidP="00B71B1A">
      <w:pPr>
        <w:spacing w:before="120" w:after="240" w:line="276" w:lineRule="auto"/>
        <w:ind w:right="-285"/>
      </w:pPr>
      <w:r>
        <w:t xml:space="preserve">El cableado se realizará en dos (2) canalizaciones separadas una para circuitos de fuerza a cuatrocientos/doscientos treinta voltios (400/230 V) y otro para mando y señalización a veinticuatro voltios (24 V), siendo de distinto color los correspondientes a circuitos de mando y señalización. </w:t>
      </w:r>
    </w:p>
    <w:p w:rsidR="00C7085E" w:rsidRDefault="00C7085E" w:rsidP="00B71B1A">
      <w:pPr>
        <w:spacing w:before="120" w:after="240" w:line="276" w:lineRule="auto"/>
        <w:ind w:right="-285"/>
      </w:pPr>
      <w:r>
        <w:t>Los CCM estarán dotados de resistencias de calefacción, reguladas mediante termostato, así como, de los elementos necesarios para garantizar su adecuada ventilación.</w:t>
      </w:r>
    </w:p>
    <w:p w:rsidR="00C7085E" w:rsidRDefault="00C7085E" w:rsidP="00B71B1A">
      <w:pPr>
        <w:spacing w:before="120" w:after="240" w:line="276" w:lineRule="auto"/>
        <w:ind w:right="-285"/>
      </w:pPr>
      <w:r>
        <w:t>Cada uno de los elementos que componen el CCM: aparamenta, elementos de medida, cableado, regleteros, etc., se marcarán de forma permanente con la referencia que les corresponda en los esquemas eléctricos. Queda prohibido marcar directamente sobre la aparamenta.</w:t>
      </w:r>
    </w:p>
    <w:p w:rsidR="00C7085E" w:rsidRDefault="00C7085E" w:rsidP="00B71B1A">
      <w:pPr>
        <w:spacing w:before="120" w:after="240" w:line="276" w:lineRule="auto"/>
        <w:ind w:right="-285"/>
      </w:pPr>
      <w:r>
        <w:t>El embarrado general se dispondrá horizontalmente en la parte superior de las columnas, tendrá la misma sección en la barra de neutro que en cada una de las tres (3) fases y será capaz de soportar los efectos electrodinámicos del cortocircuito, incluso con la aportación de la corriente generada por los motores principales trabajando como generadores, de ser síncronos. Dicho cálculo deberá estar justificado en el anejo de cálculos eléctricos. Estará formado por pletinas de cobre estañadas de la sección precisa en cada caso. El embarrado para puesta a tierra se dispondrá horizontalmente en la parte inferior del cuadro.</w:t>
      </w:r>
    </w:p>
    <w:p w:rsidR="00C7085E" w:rsidRDefault="00C7085E" w:rsidP="00B71B1A">
      <w:pPr>
        <w:spacing w:before="120" w:after="240" w:line="276" w:lineRule="auto"/>
        <w:ind w:right="-285"/>
      </w:pPr>
      <w:r>
        <w:t>El embarrado para la alimentación de las distintas celdas extraíbles estará formado por 3 ó 4 barras verticales de cobre estañado de la sección precisa en cada caso, y estará protegido por pantallas aislantes que aseguren, con la puerta abierta y la celda vacía, una protección IP-20.</w:t>
      </w:r>
    </w:p>
    <w:p w:rsidR="00C7085E" w:rsidRDefault="00C7085E" w:rsidP="00B71B1A">
      <w:pPr>
        <w:spacing w:before="120" w:after="240" w:line="276" w:lineRule="auto"/>
        <w:ind w:right="-285"/>
      </w:pPr>
      <w:r>
        <w:t>Se justificará que el embarrado y los interruptores soportan los cortocircuitos generados en los puntos en que estén situados.</w:t>
      </w:r>
    </w:p>
    <w:p w:rsidR="00C7085E" w:rsidRDefault="00C7085E" w:rsidP="00B71B1A">
      <w:pPr>
        <w:spacing w:before="120" w:after="240" w:line="276" w:lineRule="auto"/>
        <w:ind w:right="-285"/>
      </w:pPr>
      <w:r>
        <w:lastRenderedPageBreak/>
        <w:t>El cuadro se protegerá contra fallo de fase mediante el correspondiente relé.</w:t>
      </w:r>
    </w:p>
    <w:p w:rsidR="00C7085E" w:rsidRDefault="00C7085E" w:rsidP="00B71B1A">
      <w:pPr>
        <w:spacing w:before="120" w:after="240" w:line="276" w:lineRule="auto"/>
        <w:ind w:right="-285"/>
      </w:pPr>
      <w:r>
        <w:t xml:space="preserve">En la columna de acometida se instalará un interruptor automático magnetotérmico tetrapolar regulable en umbral y temporización </w:t>
      </w:r>
      <w:r>
        <w:rPr>
          <w:rFonts w:cs="Arial"/>
        </w:rPr>
        <w:t>asociado con un relé de protección diferencial ajustable en sensibilidad y temporización, con su transformador toroidal correspondiente</w:t>
      </w:r>
      <w:r>
        <w:t xml:space="preserve">, dotado con bobina de disparo, con capacidad para soportar los efectos de cortocircuito, junto con un analizador de redes con tres transformadores de intensidad. </w:t>
      </w:r>
    </w:p>
    <w:p w:rsidR="00C7085E" w:rsidRDefault="00C7085E" w:rsidP="00B71B1A">
      <w:pPr>
        <w:keepNext/>
        <w:keepLines/>
        <w:spacing w:before="120" w:after="240" w:line="276" w:lineRule="auto"/>
        <w:ind w:right="-285"/>
      </w:pPr>
      <w:r>
        <w:t>Además en esta columna se instalarán la siguiente aparamenta:</w:t>
      </w:r>
    </w:p>
    <w:p w:rsidR="00C7085E" w:rsidRDefault="00C7085E" w:rsidP="00B71B1A">
      <w:pPr>
        <w:pStyle w:val="Prrafodelista"/>
        <w:keepNext/>
        <w:keepLines/>
        <w:numPr>
          <w:ilvl w:val="0"/>
          <w:numId w:val="26"/>
        </w:numPr>
        <w:autoSpaceDE w:val="0"/>
        <w:autoSpaceDN w:val="0"/>
        <w:adjustRightInd w:val="0"/>
        <w:spacing w:before="120" w:after="240"/>
        <w:ind w:left="714" w:right="-285" w:hanging="357"/>
        <w:rPr>
          <w:rFonts w:ascii="Arial" w:hAnsi="Arial" w:cs="Arial"/>
        </w:rPr>
      </w:pPr>
      <w:r>
        <w:rPr>
          <w:rFonts w:ascii="Arial" w:hAnsi="Arial" w:cs="Arial"/>
        </w:rPr>
        <w:t>Los transformadores y elementos de protección necesarios para los circuitos auxiliares de mando y señalización.</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Las salidas para alimentación para cuadros auxiliares, así como sus correspondientes salidas de alimentación de reserva, que se protegerán con interruptores automáticos magnetotérmicos tetrapolares y con interruptores diferenciales, con capacidad para soportar los efectos de cortocircuito.</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Los elementos de la protección frente a sobretensiones y descargas atmosféricas, que se protegerán mediante fusibles de tipo gL.</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Un analizador de redes con tres transformadores de intensidad, protegido con un interruptor automático magnetotérmico tetrapolar con capacidad para soportar los efectos de cortocircuito.</w:t>
      </w:r>
    </w:p>
    <w:p w:rsidR="00C7085E" w:rsidRDefault="00C7085E" w:rsidP="00B71B1A">
      <w:pPr>
        <w:spacing w:before="120" w:after="240" w:line="276" w:lineRule="auto"/>
        <w:ind w:right="-285"/>
      </w:pPr>
      <w:r>
        <w:t xml:space="preserve">En las distintas columnas de salida se colocarán los diferentes cubículos extraíbles con los elementos precisos para la protección y el accionamiento de motores, cuya composición variará en función de la potencia del motor y de los requerimientos del receptor. </w:t>
      </w:r>
    </w:p>
    <w:p w:rsidR="00C7085E" w:rsidRDefault="00C7085E" w:rsidP="00B71B1A">
      <w:pPr>
        <w:spacing w:before="120" w:after="240" w:line="276" w:lineRule="auto"/>
        <w:ind w:right="-285"/>
      </w:pPr>
      <w:r>
        <w:t xml:space="preserve">Como criterio general para el diseño y configuración del CCM se contemplará el accionamiento de los motores: </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 xml:space="preserve">Accionamiento tipo AD. </w:t>
      </w:r>
    </w:p>
    <w:p w:rsidR="00C7085E" w:rsidRDefault="00C7085E" w:rsidP="00B71B1A">
      <w:pPr>
        <w:spacing w:before="120" w:after="240" w:line="276" w:lineRule="auto"/>
        <w:ind w:left="709" w:right="-285"/>
        <w:rPr>
          <w:u w:val="single"/>
        </w:rPr>
      </w:pPr>
      <w:r>
        <w:rPr>
          <w:u w:val="single"/>
        </w:rPr>
        <w:t xml:space="preserve">Para motores de potencias hasta 10 kW. </w:t>
      </w:r>
    </w:p>
    <w:p w:rsidR="00C7085E" w:rsidRDefault="00C7085E" w:rsidP="00B71B1A">
      <w:pPr>
        <w:spacing w:before="120" w:after="240" w:line="276" w:lineRule="auto"/>
        <w:ind w:left="709" w:right="-285"/>
      </w:pPr>
      <w:r>
        <w:t xml:space="preserve">Las celdas contendrán un interruptor magnético con capacidad para soportar los esfuerzos del cortocircuito con contacto auxiliar de desconexión, un relé diferencial indirecto, relés auxiliares de maniobra y de señalización de defectos, un contactor tripolar con bobina a 230V, 50 Hz y con los contactos auxiliares necesarios para los circuitos de mando y señalización, se antepondrá  a éste un inversor, si el motor tiene que girar en los dos sentidos, y  un relé térmico electrónico de protección. Estas protecciones estarán constituidas por módulos independientes. </w:t>
      </w:r>
    </w:p>
    <w:p w:rsidR="00C7085E" w:rsidRDefault="00C7085E" w:rsidP="00B71B1A">
      <w:pPr>
        <w:spacing w:before="120" w:after="240" w:line="276" w:lineRule="auto"/>
        <w:ind w:left="709" w:right="-285"/>
      </w:pPr>
      <w:r>
        <w:t>Dispondrá asimismo de un interruptor bipolar magnetotérmico para la protección del circuito de mando y de un interruptor bipolar magnetotérmico para la protección del circuito de señalización.</w:t>
      </w:r>
    </w:p>
    <w:p w:rsidR="00C7085E" w:rsidRDefault="00C7085E" w:rsidP="00B71B1A">
      <w:pPr>
        <w:spacing w:before="120" w:after="240" w:line="276" w:lineRule="auto"/>
        <w:ind w:left="709" w:right="-285"/>
      </w:pPr>
      <w:r>
        <w:t xml:space="preserve">En la puerta frontal se situarán los pilotos de señalización y el pulsador de rearme </w:t>
      </w:r>
      <w:r>
        <w:lastRenderedPageBreak/>
        <w:t>del térmico.</w:t>
      </w:r>
    </w:p>
    <w:p w:rsidR="00C7085E" w:rsidRDefault="00C7085E" w:rsidP="00B71B1A">
      <w:pPr>
        <w:spacing w:before="120" w:after="240" w:line="276" w:lineRule="auto"/>
        <w:ind w:left="709" w:right="-285"/>
      </w:pPr>
      <w:r>
        <w:t>En los casos que se precisen, se instalarán relés específicos adicionales para las protecciones instaladas en determinados equipos: sondas de temperatura, sondas de estanqueidad, limitadores de par, etc.</w:t>
      </w:r>
    </w:p>
    <w:p w:rsidR="00C7085E" w:rsidRDefault="00C7085E" w:rsidP="00B71B1A">
      <w:pPr>
        <w:pStyle w:val="Prrafodelista"/>
        <w:keepNext/>
        <w:keepLines/>
        <w:numPr>
          <w:ilvl w:val="0"/>
          <w:numId w:val="26"/>
        </w:numPr>
        <w:autoSpaceDE w:val="0"/>
        <w:autoSpaceDN w:val="0"/>
        <w:adjustRightInd w:val="0"/>
        <w:spacing w:before="120" w:after="240"/>
        <w:ind w:left="714" w:right="-285" w:hanging="357"/>
        <w:rPr>
          <w:rFonts w:ascii="Arial" w:hAnsi="Arial" w:cs="Arial"/>
        </w:rPr>
      </w:pPr>
      <w:r>
        <w:rPr>
          <w:rFonts w:ascii="Arial" w:hAnsi="Arial" w:cs="Arial"/>
        </w:rPr>
        <w:t>Accionamiento tipo AS</w:t>
      </w:r>
    </w:p>
    <w:p w:rsidR="00C7085E" w:rsidRDefault="00C7085E" w:rsidP="00B71B1A">
      <w:pPr>
        <w:keepNext/>
        <w:keepLines/>
        <w:spacing w:before="120" w:after="240" w:line="276" w:lineRule="auto"/>
        <w:ind w:left="709" w:right="-285" w:hanging="11"/>
        <w:rPr>
          <w:u w:val="single"/>
        </w:rPr>
      </w:pPr>
      <w:r>
        <w:rPr>
          <w:u w:val="single"/>
        </w:rPr>
        <w:t>Para motores de potencias comprendidas entre 10 y 18,5 kW,</w:t>
      </w:r>
    </w:p>
    <w:p w:rsidR="00C7085E" w:rsidRDefault="00C7085E" w:rsidP="00B71B1A">
      <w:pPr>
        <w:spacing w:before="120" w:after="240" w:line="276" w:lineRule="auto"/>
        <w:ind w:left="709" w:right="-285"/>
      </w:pPr>
      <w:r>
        <w:t>Las celdas contendrán un interruptor magnéticotermico con capacidad para soportar los esfuerzos del cortocircuito con contacto auxiliar de desconexión, un relé diferencial indirecto, relés auxiliares de maniobra y de señalización de defectos, un arrancador electrónico según especificaciones de la correspondiente ficha técnica, anteponiendo a éste un inversor si el motor tiene que girar en los dos sentidos.</w:t>
      </w:r>
    </w:p>
    <w:p w:rsidR="00C7085E" w:rsidRDefault="00C7085E" w:rsidP="00B71B1A">
      <w:pPr>
        <w:spacing w:before="120" w:after="240" w:line="276" w:lineRule="auto"/>
        <w:ind w:left="709" w:right="-285"/>
      </w:pPr>
      <w:r>
        <w:t xml:space="preserve">Estas protecciones estarán constituidas por módulos independientes. </w:t>
      </w:r>
    </w:p>
    <w:p w:rsidR="00C7085E" w:rsidRDefault="00C7085E" w:rsidP="00B71B1A">
      <w:pPr>
        <w:spacing w:before="120" w:after="240" w:line="276" w:lineRule="auto"/>
        <w:ind w:left="709" w:right="-285"/>
      </w:pPr>
      <w:r>
        <w:t>Dispondrá asimismo de un interruptor bipolar magnetotérmico para la protección del circuito de mando y de un interruptor bipolar magnetotérmico para la protección del circuito de señalización En la puerta frontal se situarán los pilotos de señalización y el pulsador de rearme del térmico.</w:t>
      </w:r>
    </w:p>
    <w:p w:rsidR="00C7085E" w:rsidRDefault="00C7085E" w:rsidP="00B71B1A">
      <w:pPr>
        <w:pStyle w:val="Prrafodelista"/>
        <w:keepNext/>
        <w:numPr>
          <w:ilvl w:val="0"/>
          <w:numId w:val="26"/>
        </w:numPr>
        <w:autoSpaceDE w:val="0"/>
        <w:autoSpaceDN w:val="0"/>
        <w:adjustRightInd w:val="0"/>
        <w:spacing w:before="120" w:after="240"/>
        <w:ind w:left="714" w:right="-285" w:hanging="357"/>
        <w:rPr>
          <w:rFonts w:ascii="Arial" w:hAnsi="Arial" w:cs="Arial"/>
        </w:rPr>
      </w:pPr>
      <w:r>
        <w:rPr>
          <w:rFonts w:ascii="Arial" w:hAnsi="Arial" w:cs="Arial"/>
        </w:rPr>
        <w:t>Accionamiento tipo AE</w:t>
      </w:r>
    </w:p>
    <w:p w:rsidR="00C7085E" w:rsidRDefault="00C7085E" w:rsidP="00B71B1A">
      <w:pPr>
        <w:keepNext/>
        <w:spacing w:before="120" w:after="240" w:line="276" w:lineRule="auto"/>
        <w:ind w:left="709" w:right="-285"/>
        <w:rPr>
          <w:u w:val="single"/>
        </w:rPr>
      </w:pPr>
      <w:r>
        <w:rPr>
          <w:u w:val="single"/>
        </w:rPr>
        <w:t xml:space="preserve">Para motores de potencias mayores de 18,5 kW. </w:t>
      </w:r>
    </w:p>
    <w:p w:rsidR="00C7085E" w:rsidRDefault="00C7085E" w:rsidP="00B71B1A">
      <w:pPr>
        <w:spacing w:before="120" w:after="240" w:line="276" w:lineRule="auto"/>
        <w:ind w:left="709" w:right="-285"/>
      </w:pPr>
      <w:r>
        <w:t>Las celdas contendrán un interruptor magnéticotermico con capacidad para soportar los esfuerzos del cortocircuito con contacto auxiliar de desconexión, un relé diferencial indirecto, relés auxiliares de maniobra y de señalización de defectos, un arrancador estático, según especificaciones de la correspondiente ficha técnica, e instalado en el armario auxiliar para accionamientos de electrónica de potencia, asociado con un contactor de by-pass, si el motor tiene que girar en los dos sentidos Se antepondrá  a estos elementos un inversor, si el motor tiene que girar en los dos sentidos.</w:t>
      </w:r>
    </w:p>
    <w:p w:rsidR="00C7085E" w:rsidRDefault="00C7085E" w:rsidP="00B71B1A">
      <w:pPr>
        <w:spacing w:before="120" w:after="240" w:line="276" w:lineRule="auto"/>
        <w:ind w:left="709" w:right="-285"/>
      </w:pPr>
      <w:r>
        <w:t xml:space="preserve">Estas protecciones estarán constituidas por módulos independientes. </w:t>
      </w:r>
    </w:p>
    <w:p w:rsidR="00C7085E" w:rsidRDefault="00C7085E" w:rsidP="00B71B1A">
      <w:pPr>
        <w:spacing w:before="120" w:after="240" w:line="276" w:lineRule="auto"/>
        <w:ind w:left="709" w:right="-285"/>
      </w:pPr>
      <w:r>
        <w:t>Dispondrá asimismo de un interruptor bipolar magnetotérmico, para la protección del circuito de mando y de un interruptor bipolar magnetotérmico para la protección del circuito de señalización.</w:t>
      </w:r>
    </w:p>
    <w:p w:rsidR="00C7085E" w:rsidRDefault="00C7085E" w:rsidP="00B71B1A">
      <w:pPr>
        <w:pStyle w:val="Prrafodelista"/>
        <w:numPr>
          <w:ilvl w:val="0"/>
          <w:numId w:val="26"/>
        </w:numPr>
        <w:autoSpaceDE w:val="0"/>
        <w:autoSpaceDN w:val="0"/>
        <w:adjustRightInd w:val="0"/>
        <w:spacing w:before="120" w:after="240"/>
        <w:ind w:left="714" w:right="-285" w:hanging="357"/>
        <w:rPr>
          <w:rFonts w:ascii="Arial" w:hAnsi="Arial" w:cs="Arial"/>
        </w:rPr>
      </w:pPr>
      <w:r>
        <w:rPr>
          <w:rFonts w:ascii="Arial" w:hAnsi="Arial" w:cs="Arial"/>
        </w:rPr>
        <w:t>Accionamiento tipo VF</w:t>
      </w:r>
    </w:p>
    <w:p w:rsidR="00C7085E" w:rsidRDefault="00C7085E" w:rsidP="00B71B1A">
      <w:pPr>
        <w:spacing w:before="120" w:after="240" w:line="276" w:lineRule="auto"/>
        <w:ind w:left="709" w:right="-285"/>
      </w:pPr>
      <w:r>
        <w:t xml:space="preserve">Para aquellos casos en los que se precise el control continuo de la velocidad de los elementos accionados por los motores. </w:t>
      </w:r>
    </w:p>
    <w:p w:rsidR="00C7085E" w:rsidRDefault="00C7085E" w:rsidP="00B71B1A">
      <w:pPr>
        <w:spacing w:before="120" w:after="240" w:line="276" w:lineRule="auto"/>
        <w:ind w:left="709" w:right="-285"/>
      </w:pPr>
      <w:r>
        <w:t xml:space="preserve">Las celdas contendrán un interruptor magnéticotermico con capacidad para </w:t>
      </w:r>
      <w:r>
        <w:lastRenderedPageBreak/>
        <w:t>soportar los esfuerzos del cortocircuito, un relé diferencial indirecto, relés auxiliares de maniobra y de señalización de defectos, un variador de frecuencia,  según especificaciones de la correspondiente ficha técnica e instalado en el armario auxiliar para accionamientos de electrónica de potencia.</w:t>
      </w:r>
    </w:p>
    <w:p w:rsidR="00C7085E" w:rsidRDefault="00C7085E" w:rsidP="00B71B1A">
      <w:pPr>
        <w:spacing w:before="120" w:after="240" w:line="276" w:lineRule="auto"/>
        <w:ind w:left="709" w:right="-285"/>
      </w:pPr>
      <w:r>
        <w:t xml:space="preserve">Un variador de frecuencia nunca accionará más de un motor (un variador por motor). </w:t>
      </w:r>
    </w:p>
    <w:p w:rsidR="00C7085E" w:rsidRDefault="00C7085E" w:rsidP="00B71B1A">
      <w:pPr>
        <w:spacing w:before="120" w:after="240" w:line="276" w:lineRule="auto"/>
        <w:ind w:left="709" w:right="-285"/>
      </w:pPr>
      <w:r>
        <w:t xml:space="preserve">Dispondrá asimismo de un interruptor bipolar magnetotérmico para la protección del circuito de mando. </w:t>
      </w:r>
    </w:p>
    <w:p w:rsidR="00C7085E" w:rsidRDefault="00C7085E" w:rsidP="00B71B1A">
      <w:pPr>
        <w:spacing w:before="120" w:after="240" w:line="276" w:lineRule="auto"/>
        <w:ind w:left="709" w:right="-285"/>
      </w:pPr>
      <w:r>
        <w:t>En la puerta frontal se situarán los pilotos de señalización y el pulsador de rearme del térmico.</w:t>
      </w:r>
    </w:p>
    <w:p w:rsidR="00C7085E" w:rsidRDefault="00C7085E" w:rsidP="00B71B1A">
      <w:pPr>
        <w:spacing w:before="120" w:after="240" w:line="276" w:lineRule="auto"/>
        <w:ind w:left="709" w:right="-285"/>
      </w:pPr>
      <w:r>
        <w:t>Los circuitos para motores de potencias comprendidas entre 18,5kW y 75kW, ambas inclusive, llevarán protección contra sobrecarga, defecto a tierra, inversión de fases, fallo de fase, asimetría, bloqueo, subcarga y térmica a través de termistencias.</w:t>
      </w:r>
    </w:p>
    <w:p w:rsidR="00C7085E" w:rsidRDefault="00C7085E" w:rsidP="00B71B1A">
      <w:pPr>
        <w:spacing w:before="120" w:after="240" w:line="276" w:lineRule="auto"/>
        <w:ind w:right="-285"/>
      </w:pPr>
      <w:r>
        <w:t>Con independencia del tipo de accionamiento necesario en cada caso a los motores con potencia igual o superior a 75 kW, se les dotará de los elementos necesarios para proteger contra sobrecarga, defecto a tierra, inversión de fases, fallo de fase, asimetría, bloqueo, subcarga, térmica a través de termistencias, y temperatura en cojinetes. Elementos de maniobra y protección para las  resistencias de caldeo y sondas termométricas de vigilancia de temperatura en cojinetes, con dispositivos de alarma por calentamiento de los mismos.</w:t>
      </w:r>
    </w:p>
    <w:p w:rsidR="00C7085E" w:rsidRDefault="00C7085E" w:rsidP="00B71B1A">
      <w:pPr>
        <w:spacing w:before="120" w:after="240" w:line="276" w:lineRule="auto"/>
        <w:ind w:right="-285"/>
      </w:pPr>
      <w:r>
        <w:t>En elevadoras de agua potable y residual, cuando no se requiera variadores de velocidad, se implementarán arranques directos hasta una potencia de 40 kW. Para potencias entre 40 y 300 kW se implementarán arrancadores estáticos. En media tensión, cuando no se requieran variadores de velocidad, el arranque será siempre directo. Los arrancadores estáticos incorporarán contactor de baipás externo, instalado en el CCM siempre que se pueda</w:t>
      </w:r>
      <w:r>
        <w:rPr>
          <w:i/>
        </w:rPr>
        <w:t>,</w:t>
      </w:r>
      <w:r>
        <w:t xml:space="preserve"> el cual, además, podrá ser accionado manualmente mediante selector.</w:t>
      </w:r>
    </w:p>
    <w:p w:rsidR="00C7085E" w:rsidRDefault="00C7085E" w:rsidP="00B71B1A">
      <w:pPr>
        <w:spacing w:before="120" w:after="240" w:line="276" w:lineRule="auto"/>
        <w:ind w:right="-285"/>
      </w:pPr>
      <w:r>
        <w:t xml:space="preserve">Con independencia del tipo de accionamiento necesario en cada caso a los motores con potencia igual o superior a 75 kW, se les dotará de los elementos necesarios para proteger contra sobrecarga, defecto a tierra, inversión de fases, fallo de fase, asimetría, bloqueo, subcarga, térmica a través de termistencias, y temperatura en cojinetes. </w:t>
      </w:r>
      <w:r>
        <w:rPr>
          <w:rFonts w:cs="Arial"/>
        </w:rPr>
        <w:t>Elementos de maniobra y protección para las resistencias de caldeo y sondas termométricas de vigilancia de temperatura en cojinetes, con dispositivos de alarma por calentamiento de los mismos.</w:t>
      </w:r>
    </w:p>
    <w:p w:rsidR="00C7085E" w:rsidRDefault="00C7085E" w:rsidP="00B71B1A">
      <w:pPr>
        <w:pStyle w:val="Textoindependiente"/>
        <w:tabs>
          <w:tab w:val="left" w:pos="4249"/>
        </w:tabs>
        <w:spacing w:before="120" w:after="240" w:line="276" w:lineRule="auto"/>
        <w:ind w:right="-285"/>
        <w:rPr>
          <w:rFonts w:cs="Arial"/>
        </w:rPr>
      </w:pPr>
      <w:r>
        <w:t>Los accionamientos de tipo electrónico, variadores de frecuencia y arrancadores estáticos,</w:t>
      </w:r>
      <w:r>
        <w:rPr>
          <w:rFonts w:cs="Arial"/>
        </w:rPr>
        <w:t xml:space="preserve"> así como  sus correspondientes  filtros antiarmónicos (filtros dV/dt, etc.), </w:t>
      </w:r>
      <w:r>
        <w:t xml:space="preserve"> debido al desprendimiento de calor que generan y a los problemas de compatibilidad electromagnética, no se instalarán en el interior de los cubículos de las columnas de salidas en ejecución extraíble  del CCM, sino que ubicarán en columnas auxiliares en </w:t>
      </w:r>
      <w:r>
        <w:lastRenderedPageBreak/>
        <w:t>ejecución fija</w:t>
      </w:r>
      <w:r>
        <w:rPr>
          <w:rFonts w:cs="Arial"/>
        </w:rPr>
        <w:t>, con  placas de montaje  en su interior y dispondrán de puertas plenas.</w:t>
      </w:r>
    </w:p>
    <w:p w:rsidR="00C7085E" w:rsidRDefault="00C7085E" w:rsidP="00B71B1A">
      <w:pPr>
        <w:pStyle w:val="Textoindependiente"/>
        <w:tabs>
          <w:tab w:val="left" w:pos="4249"/>
        </w:tabs>
        <w:spacing w:before="120" w:after="240" w:line="276" w:lineRule="auto"/>
        <w:ind w:right="-285"/>
      </w:pPr>
      <w:r>
        <w:t xml:space="preserve">Estas columnas auxiliares se anexarán al CCM y se seguirán considerando parte del mismo. Estarán dotadas de ventilación forzada, regulada mediante termostatos, extractores en techo y rejillas situadas en la puerta frontal  o en los paneles laterales del mismo. El sistema de ventilación estará dimensionado con la capacidad suficiente para garantizar la evacuación de la totalidad de las pérdidas generadas por los equipos alojados en su interior. El sistema de  ventilación, no condicionará el grado de protección del cuadro. </w:t>
      </w:r>
    </w:p>
    <w:p w:rsidR="00C7085E" w:rsidRDefault="00C7085E" w:rsidP="00B71B1A">
      <w:pPr>
        <w:spacing w:before="120" w:after="240" w:line="276" w:lineRule="auto"/>
        <w:ind w:right="-285"/>
      </w:pPr>
      <w:r>
        <w:t>Cada una de estas columnas auxiliares dispondrá de iluminación.</w:t>
      </w:r>
    </w:p>
    <w:p w:rsidR="00C7085E" w:rsidRDefault="00C7085E" w:rsidP="00B71B1A">
      <w:pPr>
        <w:pStyle w:val="listaCar"/>
        <w:spacing w:line="276" w:lineRule="auto"/>
        <w:ind w:right="-285"/>
      </w:pPr>
      <w:r>
        <w:t>Los teclados, displays, paneles de control, de variadores de frecuencia o arrancadores estáticos, se dispondrán para que puedan manejar sin necesidad de abrir las puertas  del cuadro y de forma que se facilite su manejo y visualización.</w:t>
      </w:r>
    </w:p>
    <w:p w:rsidR="00C7085E" w:rsidRDefault="00C7085E" w:rsidP="00B71B1A">
      <w:pPr>
        <w:spacing w:before="120" w:after="240" w:line="276" w:lineRule="auto"/>
        <w:ind w:right="-285"/>
      </w:pPr>
      <w:r>
        <w:t>Las características técnicas de variadores de frecuencia, arrancadores electrónicos y arrancadores estáticos, serán acorde  las especificaciones de las fichas técnicas correspondientes. El calibre en intensidad de estos dispositivos, estará sobredimensionado un veinte por ciento (20%) sobre la intensidad nominal del motor que accionen.</w:t>
      </w:r>
    </w:p>
    <w:p w:rsidR="00C7085E" w:rsidRDefault="00C7085E" w:rsidP="00B71B1A">
      <w:pPr>
        <w:pStyle w:val="listaCar"/>
        <w:spacing w:line="276" w:lineRule="auto"/>
        <w:ind w:right="-285"/>
      </w:pPr>
      <w:r>
        <w:t xml:space="preserve">Se instalarán protecciones de tipo magnetotérmico y relés diferenciales inmunizados, aguas arriba de los equipos electrónicos. </w:t>
      </w:r>
    </w:p>
    <w:p w:rsidR="00C7085E" w:rsidRDefault="00C7085E" w:rsidP="00B71B1A">
      <w:pPr>
        <w:spacing w:before="120" w:after="240" w:line="276" w:lineRule="auto"/>
        <w:ind w:right="-285"/>
      </w:pPr>
      <w:r>
        <w:t>La alimentación de los motores desde estos equipos, se realizará mediante cable apantallado.</w:t>
      </w:r>
    </w:p>
    <w:p w:rsidR="00C7085E" w:rsidRDefault="00C7085E" w:rsidP="00B71B1A">
      <w:pPr>
        <w:spacing w:before="120" w:after="240" w:line="276" w:lineRule="auto"/>
        <w:ind w:right="-285"/>
        <w:rPr>
          <w:b/>
        </w:rPr>
      </w:pPr>
      <w:r>
        <w:t>Los circuitos de mando de los CCM, se realizarán a una tensión de veinticuatro voltios corriente alterna (24 VAC), mediante transformadores de circuitos separados, protegidos mediante interruptores automáticos. Con el fin de evitar caídas de tensión, las bobinas de los contactores serán alimentadas a doscientos treinta voltios de corriente alterna (230 VAC), a través de relés auxiliares de bajo consumo, situados en el circuito de mando a veinticuatro voltios de corriente alterna (24 VAC). La protección de los circuitos de mando a 230 VAC y a 24 VAC, se realizará con interruptores magnetotérmicos bipolares.</w:t>
      </w:r>
      <w:r>
        <w:rPr>
          <w:b/>
        </w:rPr>
        <w:t xml:space="preserve"> </w:t>
      </w:r>
    </w:p>
    <w:p w:rsidR="00C7085E" w:rsidRDefault="00C7085E" w:rsidP="00B71B1A">
      <w:pPr>
        <w:spacing w:before="120" w:after="240" w:line="276" w:lineRule="auto"/>
        <w:ind w:right="-285"/>
      </w:pPr>
      <w:r>
        <w:t xml:space="preserve">El diseño eléctrico de los circuitos y las diferentes configuraciones eléctricas, serán determinados por Canal de Isabel II Gestión. </w:t>
      </w:r>
    </w:p>
    <w:p w:rsidR="00C7085E" w:rsidRDefault="00C7085E" w:rsidP="00B71B1A">
      <w:pPr>
        <w:spacing w:before="120" w:after="240" w:line="276" w:lineRule="auto"/>
        <w:ind w:right="-285"/>
      </w:pPr>
      <w:r>
        <w:t>La fabricación del CCM, estará condicionada a la aprobación por parte de Canal de Isabel II Gestión de los esquemas eléctricos del mismo.</w:t>
      </w:r>
    </w:p>
    <w:p w:rsidR="00C7085E" w:rsidRDefault="00C7085E" w:rsidP="00B71B1A">
      <w:pPr>
        <w:spacing w:before="120" w:after="240" w:line="276" w:lineRule="auto"/>
        <w:ind w:right="-285"/>
      </w:pPr>
      <w:r>
        <w:t xml:space="preserve">Los esquemas incluirán planos del frontal del cuadro eléctrico con dimensiones, donde aparecerán pulsadores, indicadores, sinóptico, etc. Asimismo, incluirán unifilar general de la instalación con características eléctricas de cada equipo, protecciones principales y secciones de los cables de fuerza. Los esquemas desarrollados llegarán hasta el  receptor de que se trate, indicando secciones de cables y bornas y especificando las principales características eléctricas del receptor. Al final de la colección de esquemas se </w:t>
      </w:r>
      <w:r>
        <w:lastRenderedPageBreak/>
        <w:t>añadirá una lista de materiales con la descripción de marca y modelo, o similar, con principales características eléctricas.</w:t>
      </w:r>
    </w:p>
    <w:p w:rsidR="00C7085E" w:rsidRDefault="00C7085E" w:rsidP="00B71B1A">
      <w:pPr>
        <w:spacing w:before="120" w:after="240" w:line="276" w:lineRule="auto"/>
        <w:ind w:right="-285"/>
      </w:pPr>
      <w:r>
        <w:t>Dichos esquemas se irán actualizando si hubiera cambios en obra y puesta en marcha.Todo cuadro eléctrico dispondrá de una cartera (interior a él) donde se depositará una copia del esquema eléctrico del mismo, tanto de fuerza como de maniobra.</w:t>
      </w:r>
    </w:p>
    <w:p w:rsidR="00C7085E" w:rsidRDefault="00C7085E" w:rsidP="00B71B1A">
      <w:pPr>
        <w:spacing w:before="120" w:after="240" w:line="276" w:lineRule="auto"/>
        <w:ind w:right="-285"/>
      </w:pPr>
      <w:r>
        <w:t>El control de calidad del fabricante del conjunto, será una entidad homologada independiente y certificará los ensayos de tipo recogidos en las normas UNE-EN 61439-1 UNE-EN 61439-2 y el marcado CE.</w:t>
      </w:r>
    </w:p>
    <w:p w:rsidR="00C7085E" w:rsidRDefault="00C7085E" w:rsidP="00B71B1A">
      <w:pPr>
        <w:spacing w:before="120" w:after="240" w:line="276" w:lineRule="auto"/>
        <w:ind w:right="-285"/>
      </w:pPr>
      <w:r>
        <w:t>En el frente de los cuadros se instalarán los siguientes aparatos de medida y señalización.</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El CCM dispondrá de un analizador de redes en cada una de las acometidas de alimentación.</w:t>
      </w:r>
    </w:p>
    <w:p w:rsidR="00C7085E" w:rsidRDefault="00C7085E" w:rsidP="00B71B1A">
      <w:pPr>
        <w:pStyle w:val="Prrafodelista"/>
        <w:autoSpaceDE w:val="0"/>
        <w:autoSpaceDN w:val="0"/>
        <w:adjustRightInd w:val="0"/>
        <w:spacing w:before="120" w:after="240"/>
        <w:ind w:right="-285"/>
        <w:rPr>
          <w:rFonts w:ascii="Arial" w:hAnsi="Arial" w:cs="Arial"/>
        </w:rPr>
      </w:pPr>
      <w:r>
        <w:rPr>
          <w:rFonts w:ascii="Arial" w:hAnsi="Arial" w:cs="Arial"/>
        </w:rPr>
        <w:t>Los analizadores de redes, como mínimo dispondrán de las siguientes características: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Display multilínea para la indicación local de las siguientes variables: tensión simple, tensión compuesta, intensidad, potencias activa y reactiva, y consumo de energías activa y reactiva, tasa de distorsión armónica, tanto en corriente como en tensión. Todas estas variables deberán estar integradas  en el sistema de control a nivel de PLC.</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-Dos (2) Salidas Digitales.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 xml:space="preserve">-Dos (2 ) Salidas Analógicas, </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Puerto de comunicación Ethernet y con capacidad de comunicación  en el protocolo de comunicaciones que determine Canal de Isabel II Gestión en cada caso.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Sus dimensiones mínimas serán 144mm x 144mm.</w:t>
      </w:r>
    </w:p>
    <w:p w:rsidR="00C7085E" w:rsidRDefault="00C7085E" w:rsidP="00B71B1A">
      <w:pPr>
        <w:pStyle w:val="Prrafodelista"/>
        <w:autoSpaceDE w:val="0"/>
        <w:autoSpaceDN w:val="0"/>
        <w:adjustRightInd w:val="0"/>
        <w:spacing w:before="120" w:after="240"/>
        <w:ind w:right="-285"/>
        <w:rPr>
          <w:rFonts w:ascii="Arial" w:hAnsi="Arial" w:cs="Arial"/>
          <w:lang w:val="es-ES_tradnl"/>
        </w:rPr>
      </w:pPr>
      <w:r>
        <w:rPr>
          <w:rFonts w:ascii="Arial" w:hAnsi="Arial" w:cs="Arial"/>
          <w:lang w:val="es-ES_tradnl"/>
        </w:rPr>
        <w:t xml:space="preserve">Para aquellas salidas para motores mayores o iguales de 75 kW se les dotará adicionalmente de un analizador de redes de las mismas características </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Señalización luminosa:</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Se realizará a veinticuatro voltios (24 V) corriente alterna, mediante transformadores de circuito separado.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Todos los motores tendrán una señalización que indique su estado y su posible defecto:</w:t>
      </w:r>
    </w:p>
    <w:p w:rsidR="00C7085E" w:rsidRDefault="00C7085E" w:rsidP="00B71B1A">
      <w:pPr>
        <w:pStyle w:val="GenricoA3Enumeracin"/>
        <w:numPr>
          <w:ilvl w:val="4"/>
          <w:numId w:val="6"/>
        </w:numPr>
        <w:suppressAutoHyphens/>
        <w:spacing w:before="120" w:after="240" w:line="276" w:lineRule="auto"/>
        <w:ind w:left="1797" w:right="-285" w:hanging="357"/>
        <w:jc w:val="both"/>
      </w:pPr>
      <w:r>
        <w:t>Posición de cerrado para cada interruptor automático de entrada o salida.</w:t>
      </w:r>
    </w:p>
    <w:p w:rsidR="00C7085E" w:rsidRDefault="00C7085E" w:rsidP="00B71B1A">
      <w:pPr>
        <w:pStyle w:val="GenricoA3Enumeracin"/>
        <w:numPr>
          <w:ilvl w:val="4"/>
          <w:numId w:val="6"/>
        </w:numPr>
        <w:suppressAutoHyphens/>
        <w:spacing w:before="120" w:after="240" w:line="276" w:lineRule="auto"/>
        <w:ind w:left="1797" w:right="-285" w:hanging="357"/>
        <w:jc w:val="both"/>
      </w:pPr>
      <w:r>
        <w:t>Posición de cerrado para cada contacto final que conecte un receptor. En el caso de tener doble sentido de giro, también será doble la señalización.</w:t>
      </w:r>
    </w:p>
    <w:p w:rsidR="00C7085E" w:rsidRDefault="00C7085E" w:rsidP="00B71B1A">
      <w:pPr>
        <w:pStyle w:val="GenricoA3Enumeracin"/>
        <w:numPr>
          <w:ilvl w:val="4"/>
          <w:numId w:val="6"/>
        </w:numPr>
        <w:suppressAutoHyphens/>
        <w:spacing w:before="120" w:after="240" w:line="276" w:lineRule="auto"/>
        <w:ind w:right="-285"/>
        <w:jc w:val="both"/>
      </w:pPr>
      <w:r>
        <w:t>Posición de defecto común para cualquiera de las protecciones requeridas. Esta señalización será intermitente.</w:t>
      </w:r>
    </w:p>
    <w:p w:rsidR="00C7085E" w:rsidRDefault="00C7085E" w:rsidP="00B71B1A">
      <w:pPr>
        <w:pStyle w:val="Prrafodelista"/>
        <w:numPr>
          <w:ilvl w:val="1"/>
          <w:numId w:val="13"/>
        </w:numPr>
        <w:autoSpaceDE w:val="0"/>
        <w:autoSpaceDN w:val="0"/>
        <w:adjustRightInd w:val="0"/>
        <w:spacing w:before="120" w:after="240"/>
        <w:ind w:left="1094" w:right="-285" w:hanging="357"/>
      </w:pPr>
      <w:r>
        <w:rPr>
          <w:rFonts w:ascii="Arial" w:hAnsi="Arial" w:cs="Arial"/>
        </w:rPr>
        <w:lastRenderedPageBreak/>
        <w:t>Se instalarán el suficiente número de pulsadores de prueba de lámparas para comprobar con comodidad el funcionamiento de las mismas.</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Señalización escrita:</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Cada circuito estará señalizado con un letrero de formica negra con escritura en blanco, visible al menos desde dos (2) metros de distancia, en el que figure el número de circuito a que corresponde en los esquemas y el nombre del mismo.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En una parte destacada, como puede ser el ángulo superior izquierdo, se colocará un letrero de las mismas características que los anteriores, en el que figure el número del cuadro y su nombre según los esquemas eléctricos siendo visible, al menos, desde una distancia a cinco (5) metros.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Todos los letreros se fijarán mediante remaches.</w:t>
      </w:r>
    </w:p>
    <w:p w:rsidR="00C7085E" w:rsidRDefault="00C7085E" w:rsidP="00B71B1A">
      <w:pPr>
        <w:pStyle w:val="Prrafodelista"/>
        <w:numPr>
          <w:ilvl w:val="0"/>
          <w:numId w:val="13"/>
        </w:numPr>
        <w:autoSpaceDE w:val="0"/>
        <w:autoSpaceDN w:val="0"/>
        <w:adjustRightInd w:val="0"/>
        <w:spacing w:before="120" w:after="240"/>
        <w:ind w:right="-285"/>
        <w:rPr>
          <w:rFonts w:ascii="Arial" w:hAnsi="Arial" w:cs="Arial"/>
          <w:lang w:val="es-ES_tradnl"/>
        </w:rPr>
      </w:pPr>
      <w:r>
        <w:rPr>
          <w:rFonts w:ascii="Arial" w:hAnsi="Arial" w:cs="Arial"/>
          <w:lang w:val="es-ES_tradnl"/>
        </w:rPr>
        <w:t>Sinóptico: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En el caso en que los cuadros lleven un esquema sinóptico asociado representando el funcionamiento de la instalación, el mismo será construido en metacrilato tipo mosaico, enmarcado en acero inoxidable. La señalización luminosa se realizará con elementos que permitan visualizar el encendido de los pilotos bajo un ángulo de 45 grados a la distancia de 1 m. Su conexión eléctrica será del tipo enchufe.</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El mando de todos los interruptores automáticos, serán accesibles desde el exterior.</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Se instalará un pulsador de prueba de lámparas para comprobar el funcionamiento de las mismas.</w:t>
      </w:r>
    </w:p>
    <w:p w:rsidR="00C7085E" w:rsidRDefault="00C7085E" w:rsidP="00B71B1A">
      <w:pPr>
        <w:spacing w:before="120" w:after="240" w:line="276" w:lineRule="auto"/>
        <w:ind w:right="-285"/>
        <w:rPr>
          <w:rFonts w:cs="Arial"/>
        </w:rPr>
      </w:pPr>
      <w:r>
        <w:rPr>
          <w:rFonts w:cs="Arial"/>
        </w:rPr>
        <w:t>Se realizarán canalizaciones independientes por tensiones y dentro de éstas, los conductores tendrán colores diferentes según al tipo de circuito que correspondan (mando, señalización, etc.).</w:t>
      </w:r>
    </w:p>
    <w:p w:rsidR="00C7085E" w:rsidRDefault="00C7085E" w:rsidP="00B71B1A">
      <w:pPr>
        <w:spacing w:before="120" w:after="240" w:line="276" w:lineRule="auto"/>
        <w:ind w:right="-285"/>
      </w:pPr>
      <w:r>
        <w:t>Las regletas de conexión para fuerza, maniobra, entrada y salida a otros cuadros, etc., al igual que toda la aparamenta y cada uno de los cables, se marcarán de forma permanente con la misma referencia que les corresponda en los esquemas eléctricos.</w:t>
      </w:r>
    </w:p>
    <w:p w:rsidR="00C7085E" w:rsidRDefault="00C7085E" w:rsidP="00B71B1A">
      <w:pPr>
        <w:spacing w:before="120" w:after="240" w:line="276" w:lineRule="auto"/>
        <w:ind w:right="-285"/>
      </w:pPr>
      <w:r>
        <w:t xml:space="preserve">En equipos de elevadoras de agua potable y regenerada, se instalará seta de emergencia, selector 0/Local/Remoto y botonera de marcha/paro tanto en el frontal de cubículo del CCM como a pie de máquina.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 xml:space="preserve">Se seguirán lo marcado en el control de calidad del </w:t>
      </w:r>
      <w:r w:rsidR="00DF30E5">
        <w:fldChar w:fldCharType="begin"/>
      </w:r>
      <w:r w:rsidR="00DF30E5">
        <w:instrText xml:space="preserve"> REF _Ref403739090 \r \h  \* MERGEFORMAT </w:instrText>
      </w:r>
      <w:r w:rsidR="00DF30E5">
        <w:fldChar w:fldCharType="separate"/>
      </w:r>
      <w:r w:rsidR="006B1686">
        <w:t>Artículo 6.4.1</w:t>
      </w:r>
      <w:r w:rsidR="00DF30E5">
        <w:fldChar w:fldCharType="end"/>
      </w:r>
      <w:r>
        <w:t xml:space="preserve">. </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lastRenderedPageBreak/>
        <w:t>Medición y abono</w:t>
      </w:r>
    </w:p>
    <w:p w:rsidR="00C7085E" w:rsidRDefault="00C7085E" w:rsidP="00B71B1A">
      <w:pPr>
        <w:keepNext/>
        <w:spacing w:before="120" w:after="240" w:line="276" w:lineRule="auto"/>
        <w:ind w:right="-285"/>
      </w:pPr>
      <w:bookmarkStart w:id="805" w:name="_Toc392586277"/>
      <w:r>
        <w:t>Los cuadros se abonarán de acuerdo a la unidad correspondiente de las que figuren en el Cuadro de Precios vigente de Canal de Isabel II Gestión.</w:t>
      </w:r>
    </w:p>
    <w:p w:rsidR="00C7085E" w:rsidRDefault="00C7085E" w:rsidP="00B71B1A">
      <w:pPr>
        <w:pStyle w:val="Ttulo3"/>
        <w:widowControl/>
        <w:numPr>
          <w:ilvl w:val="2"/>
          <w:numId w:val="5"/>
        </w:numPr>
        <w:tabs>
          <w:tab w:val="left" w:pos="567"/>
        </w:tabs>
        <w:suppressAutoHyphens/>
        <w:snapToGrid w:val="0"/>
        <w:spacing w:before="120" w:after="240" w:line="276" w:lineRule="auto"/>
        <w:ind w:left="1701" w:right="-285" w:hanging="1701"/>
      </w:pPr>
      <w:bookmarkStart w:id="806" w:name="_Toc414022108"/>
      <w:bookmarkStart w:id="807" w:name="_Toc448741505"/>
      <w:r>
        <w:t>Cuadros locales o auxiliares</w:t>
      </w:r>
      <w:bookmarkEnd w:id="805"/>
      <w:bookmarkEnd w:id="806"/>
      <w:bookmarkEnd w:id="807"/>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keepNext/>
        <w:spacing w:before="120" w:after="240" w:line="276" w:lineRule="auto"/>
        <w:ind w:right="-285"/>
      </w:pPr>
      <w:r>
        <w:t>Solamente se montarán cuadros auxiliares para aquellos grupos de equipos que por sus características específicas lo requieran, tales como: desarenadores, puentes-grúa, equipos preparación de reactivos, etc.</w:t>
      </w:r>
    </w:p>
    <w:p w:rsidR="00C7085E" w:rsidRDefault="00C7085E" w:rsidP="00B71B1A">
      <w:pPr>
        <w:spacing w:before="120" w:after="240" w:line="276" w:lineRule="auto"/>
        <w:ind w:right="-285"/>
      </w:pPr>
      <w:r>
        <w:t>Será un Conjunto verificado, según la serie de normas UNE-EN 61439 y marcado CE.</w:t>
      </w:r>
    </w:p>
    <w:p w:rsidR="00C7085E" w:rsidRDefault="00C7085E" w:rsidP="00B71B1A">
      <w:pPr>
        <w:spacing w:before="120" w:after="240" w:line="276" w:lineRule="auto"/>
        <w:ind w:right="-285"/>
      </w:pPr>
      <w:r>
        <w:t>El diseño eléctrico de los circuitos deberá estar acorde a las directrices de Canal de Isabel II Gestión, para en caso de ser necesario, se puedan integrar el sistema de control de la instalación.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Los cuadros que deban montarse en el interior de edificios, estarán fabricados en poliéster reforzado con fibra de vidrio, mientras que los que se instalen a la intemperie, serán metálicos.</w:t>
      </w:r>
    </w:p>
    <w:p w:rsidR="00C7085E" w:rsidRDefault="00C7085E" w:rsidP="00B71B1A">
      <w:pPr>
        <w:spacing w:before="120" w:after="240" w:line="276" w:lineRule="auto"/>
        <w:ind w:right="-285"/>
      </w:pPr>
      <w:r>
        <w:t xml:space="preserve">Los elementos de mando, control y señalización estarán montados sobre una puerta opaca que estará protegida por otra,  provista de una ventana transparente con burletes elásticos que garanticen su estanquidad. </w:t>
      </w:r>
    </w:p>
    <w:p w:rsidR="00C7085E" w:rsidRDefault="00C7085E" w:rsidP="00B71B1A">
      <w:pPr>
        <w:spacing w:before="120" w:after="240" w:line="276" w:lineRule="auto"/>
        <w:ind w:right="-285"/>
      </w:pPr>
      <w:r>
        <w:t>Los cuadros locales o auxiliares tendrán un grado de protección mínimo IP-55 y  acabado en el color RAL 1028 o en que en su día,  determine Canal de Isabel II Gestión.</w:t>
      </w:r>
    </w:p>
    <w:p w:rsidR="00C7085E" w:rsidRDefault="00C7085E" w:rsidP="00B71B1A">
      <w:pPr>
        <w:spacing w:before="120" w:after="240" w:line="276" w:lineRule="auto"/>
        <w:ind w:right="-285"/>
      </w:pPr>
      <w:r>
        <w:t>Dispondrán como protección general, un  interruptor magnetotérmico tetrapolar, con poder corte acorde a su punto de instalación,  asociado con un relé diferencial indirecto regulable en  tiempo y sensibilidad.</w:t>
      </w:r>
    </w:p>
    <w:p w:rsidR="00C7085E" w:rsidRDefault="00C7085E" w:rsidP="00B71B1A">
      <w:pPr>
        <w:spacing w:before="120" w:after="240" w:line="276" w:lineRule="auto"/>
        <w:ind w:right="-285"/>
      </w:pPr>
      <w:r>
        <w:t>Los pulsadores de emergencia serán accesibles sin necesidad de abrir las puertas del cuadro, estarán colocadas en un lugar visible y que favorezca su accionamiento.</w:t>
      </w:r>
    </w:p>
    <w:p w:rsidR="00C7085E" w:rsidRDefault="00C7085E" w:rsidP="00B71B1A">
      <w:pPr>
        <w:spacing w:before="120" w:after="240" w:line="276" w:lineRule="auto"/>
        <w:ind w:right="-285"/>
      </w:pPr>
      <w:r>
        <w:t>Estarán dotados de ventilación forzada, regulada mediante termostatos y con extractores en el techo. Dispondrá de rejillas situadas en la puerta frontal o en los paneles laterales del mismo, atendiendo a su montaje. Dispondrán de iluminación interior, que se accionará al abrir cualquier puerta.</w:t>
      </w:r>
    </w:p>
    <w:p w:rsidR="00C7085E" w:rsidRDefault="00C7085E" w:rsidP="00B71B1A">
      <w:pPr>
        <w:spacing w:before="120" w:after="240" w:line="276" w:lineRule="auto"/>
        <w:ind w:right="-285"/>
      </w:pPr>
      <w:r>
        <w:t>Los teclados, displays, paneles de control, de los variadores de frecuencia o de los arrancadores estáticos, se dispondrán para que puedan manejarse, sin necesidad de abrir las puertas del armario, de forma que se facilite su manejo y visualización.</w:t>
      </w:r>
    </w:p>
    <w:p w:rsidR="00C7085E" w:rsidRDefault="00C7085E" w:rsidP="00B71B1A">
      <w:pPr>
        <w:spacing w:before="120" w:after="240" w:line="276" w:lineRule="auto"/>
        <w:ind w:right="-285"/>
      </w:pPr>
      <w:r>
        <w:t xml:space="preserve">Las entradas de los cables se realizarán por medio de prensaestopas. </w:t>
      </w:r>
    </w:p>
    <w:p w:rsidR="00C7085E" w:rsidRDefault="00C7085E" w:rsidP="00B71B1A">
      <w:pPr>
        <w:spacing w:before="120" w:after="240" w:line="276" w:lineRule="auto"/>
        <w:ind w:right="-285"/>
      </w:pPr>
      <w:r>
        <w:lastRenderedPageBreak/>
        <w:t xml:space="preserve">La distribución del cableado en los cuadros se realizará a través de canaletas de material plástico de apertura y cierre rápido y nunca se mezclarán, dentro de un mismo canal, distintos tipos de energía. </w:t>
      </w:r>
    </w:p>
    <w:p w:rsidR="00C7085E" w:rsidRDefault="00C7085E" w:rsidP="00B71B1A">
      <w:pPr>
        <w:spacing w:before="120" w:after="240" w:line="276" w:lineRule="auto"/>
        <w:ind w:right="-285"/>
      </w:pPr>
      <w:r>
        <w:t>El tipo de cableado de los cuadros será el NEMA tipo C, que consiste en llevar los cables de salida hasta una regleta de bornas situada junto a las entradas de cables del exterior. Cada uno de los cables de unión entre los elementos llevará una identificación, que deberá coincidir.</w:t>
      </w:r>
    </w:p>
    <w:p w:rsidR="00C7085E" w:rsidRDefault="00C7085E" w:rsidP="00B71B1A">
      <w:pPr>
        <w:spacing w:before="120" w:after="240" w:line="276" w:lineRule="auto"/>
        <w:ind w:right="-285"/>
      </w:pPr>
      <w:r>
        <w:t>Los circuitos de mando se realizarán a tensión 24 VCA., mediante transformadores de circuitos separados y protegidos mediante interruptores automáticos bipolares. Con el fin de evitar caídas de tensión, las bobinas de los contactores serán alimentadas a 230 V, a través de relés auxiliares situados en el circuito de mando a 24 VCA. Tanto los circuitos de 230 VAC como los de 24 VAC serán protegidos con interruptores magnetotérmicos bipolares.</w:t>
      </w:r>
    </w:p>
    <w:p w:rsidR="00C7085E" w:rsidRDefault="00C7085E" w:rsidP="00B71B1A">
      <w:pPr>
        <w:spacing w:before="120" w:after="240" w:line="276" w:lineRule="auto"/>
        <w:ind w:right="-285"/>
      </w:pPr>
      <w:r>
        <w:t>Todo cuadro eléctrico dispondrá de una cartera (interior a él) donde se depositará una copia del esquema eléctrico del mismo, tanto de fuerza como de maniobra.</w:t>
      </w:r>
    </w:p>
    <w:p w:rsidR="00C7085E" w:rsidRDefault="00C7085E" w:rsidP="00B71B1A">
      <w:pPr>
        <w:spacing w:before="120" w:after="240" w:line="276" w:lineRule="auto"/>
        <w:ind w:right="-285"/>
      </w:pPr>
      <w:r>
        <w:t>Siempre existirá un mínimo de 25% de la superficie (uniformemente repartida) de cada cuadro libre en condiciones de poder ser utilizada para ampliaciones o modificaciones. Las canaletas para cables estarán ocupadas en un máximo del 75%.</w:t>
      </w:r>
    </w:p>
    <w:p w:rsidR="00C7085E" w:rsidRDefault="00C7085E" w:rsidP="00B71B1A">
      <w:pPr>
        <w:spacing w:before="120" w:after="240" w:line="276" w:lineRule="auto"/>
        <w:ind w:right="-285"/>
      </w:pPr>
      <w:r>
        <w:t xml:space="preserve">En las zonas donde pueden producirse atmósferas explosivas, los cuadros se construirán e instalarán de acuerdo con la Instrucción Técnica Complementaria ITC-BT-29 del Reglamento Electrotécnico para Baja Tensión aprobado por Real Decreto 842/2002.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El fabricante antes del suministro del conjunto de verificado, realizará los verificaciones  individuales según la norma UNE EN 61439.</w:t>
      </w:r>
    </w:p>
    <w:p w:rsidR="00C7085E" w:rsidRDefault="00C7085E" w:rsidP="00B71B1A">
      <w:pPr>
        <w:spacing w:before="120" w:after="240" w:line="276" w:lineRule="auto"/>
        <w:ind w:right="-285"/>
      </w:pPr>
      <w:r>
        <w:t xml:space="preserve">Se seguirá lo marcado en el control de calidad del </w:t>
      </w:r>
      <w:r w:rsidR="00927113">
        <w:fldChar w:fldCharType="begin"/>
      </w:r>
      <w:r>
        <w:instrText xml:space="preserve"> REF _Ref403567546 \r \h </w:instrText>
      </w:r>
      <w:r w:rsidR="00927113">
        <w:fldChar w:fldCharType="separate"/>
      </w:r>
      <w:r w:rsidR="006B1686">
        <w:t>Artículo 6.4.1</w:t>
      </w:r>
      <w:r w:rsidR="00927113">
        <w:fldChar w:fldCharType="end"/>
      </w:r>
      <w:r>
        <w:t xml:space="preserve"> de este Pliego.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bookmarkStart w:id="808" w:name="_Toc392586278"/>
      <w:r>
        <w:t xml:space="preserve">Los cuadros auxiliares se abonarán de acuerdo </w:t>
      </w:r>
      <w:bookmarkStart w:id="809" w:name="_Toc414022109"/>
      <w:r>
        <w:t>a la unidad correspondiente de las que figuren en el Cuadro de Precios vigente de Canal de Isabel II Gestión.</w:t>
      </w: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10" w:name="_Toc448741506"/>
      <w:r>
        <w:lastRenderedPageBreak/>
        <w:t>Líneas de alimentación, distribución, mando y señalización</w:t>
      </w:r>
      <w:bookmarkEnd w:id="808"/>
      <w:bookmarkEnd w:id="809"/>
      <w:bookmarkEnd w:id="810"/>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keepNext/>
        <w:keepLines/>
        <w:spacing w:before="120" w:after="240" w:line="276" w:lineRule="auto"/>
        <w:ind w:right="-285"/>
      </w:pPr>
      <w:r>
        <w:t>Comprende las líneas de alimentación desde las bornas de baja tensión de los transformadores hasta el cuadro de distribución general, desde éste hasta los cuadros de alumbrado y hasta los centros de control de motores, y desde éstos hasta los cuadros auxiliares y hasta los distintos receptores. Forman parte también de estas líneas, las correspondientes a circuitos de mando y señalización.</w:t>
      </w:r>
    </w:p>
    <w:p w:rsidR="00C7085E" w:rsidRDefault="00C7085E" w:rsidP="00B71B1A">
      <w:pPr>
        <w:spacing w:before="120" w:after="240" w:line="276" w:lineRule="auto"/>
        <w:ind w:right="-285"/>
      </w:pPr>
      <w:r>
        <w:t>Para acometidas a cuadro de distribución general superiores a 1600 A, éstas se ejecutarán mediante blindobarra o sistema similar en cobre o aluminio desde el transformador correspondiente.</w:t>
      </w:r>
    </w:p>
    <w:p w:rsidR="00C7085E" w:rsidRDefault="00C7085E" w:rsidP="00B71B1A">
      <w:pPr>
        <w:spacing w:before="120" w:after="240" w:line="276" w:lineRule="auto"/>
        <w:ind w:right="-285"/>
      </w:pPr>
      <w:r>
        <w:t>En el resto de los casos, todos los conductores serán de cobre con doble aislamiento en seco de polietileno reticulado, siendo de emisión de humos y opacidad reducida y resistente al fuego cuando así lo determine la correspondiente ficha. Corresponderán a la designación de las normas UNE RV 0,6/1 KV.</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Serán de una sola pieza, no permitiéndose empalme alguno.</w:t>
      </w:r>
    </w:p>
    <w:p w:rsidR="00C7085E" w:rsidRDefault="00C7085E" w:rsidP="00B71B1A">
      <w:pPr>
        <w:spacing w:before="120" w:after="240" w:line="276" w:lineRule="auto"/>
        <w:ind w:right="-285"/>
      </w:pPr>
      <w:r>
        <w:t>Sus extremos estarán dotados de los terminales adecuados, así como de su identificación de forma permanente de acuerdo con los esquemas.</w:t>
      </w:r>
    </w:p>
    <w:p w:rsidR="00C7085E" w:rsidRDefault="00C7085E" w:rsidP="00B71B1A">
      <w:pPr>
        <w:spacing w:before="120" w:after="240" w:line="276" w:lineRule="auto"/>
        <w:ind w:right="-285"/>
      </w:pPr>
      <w:r>
        <w:t>Además de las secciones mínimas fijadas por la reglamentación vigente (intensidad máxima admisible y criterios de caída de tensión desde bornes de baja tensión del transformador hasta el receptor), en el momento de realizarse la instalación, se establecen las siguientes:</w:t>
      </w:r>
    </w:p>
    <w:p w:rsidR="00C7085E" w:rsidRDefault="00C7085E" w:rsidP="00B71B1A">
      <w:pPr>
        <w:widowControl/>
        <w:numPr>
          <w:ilvl w:val="0"/>
          <w:numId w:val="30"/>
        </w:numPr>
        <w:suppressAutoHyphens/>
        <w:spacing w:before="120" w:after="240" w:line="276" w:lineRule="auto"/>
        <w:ind w:left="714" w:right="-285" w:hanging="357"/>
      </w:pPr>
      <w:r>
        <w:t>Para fuerza: dos milímetros y medio cuadrados (2,5 mm²).</w:t>
      </w:r>
    </w:p>
    <w:p w:rsidR="00C7085E" w:rsidRDefault="00C7085E" w:rsidP="00B71B1A">
      <w:pPr>
        <w:widowControl/>
        <w:numPr>
          <w:ilvl w:val="0"/>
          <w:numId w:val="30"/>
        </w:numPr>
        <w:suppressAutoHyphens/>
        <w:spacing w:before="120" w:after="240" w:line="276" w:lineRule="auto"/>
        <w:ind w:left="714" w:right="-285" w:hanging="357"/>
      </w:pPr>
      <w:r>
        <w:t>Para maniobra y señalización: dos milímetros y medio cuadrados (2,5 mm²) en el caso de utilizar cables unipolares y de uno y medio milímetros cuadrados (1,5 mm²) si se utilizan cables multipolares.</w:t>
      </w:r>
    </w:p>
    <w:p w:rsidR="00C7085E" w:rsidRDefault="00C7085E" w:rsidP="00B71B1A">
      <w:pPr>
        <w:widowControl/>
        <w:numPr>
          <w:ilvl w:val="0"/>
          <w:numId w:val="30"/>
        </w:numPr>
        <w:suppressAutoHyphens/>
        <w:spacing w:before="120" w:after="240" w:line="276" w:lineRule="auto"/>
        <w:ind w:left="714" w:right="-285" w:hanging="357"/>
      </w:pPr>
      <w:r>
        <w:t>Por cada conjunto de cables de maniobra, control y señalización que conexionen entre sí cuadros, sinópticos, etc. se dejarán como reserva un mínimo de conductores igual al veinte por ciento (20%).</w:t>
      </w:r>
    </w:p>
    <w:p w:rsidR="00C7085E" w:rsidRDefault="00C7085E" w:rsidP="00B71B1A">
      <w:pPr>
        <w:spacing w:before="120" w:after="240" w:line="276" w:lineRule="auto"/>
        <w:ind w:right="-285"/>
      </w:pPr>
      <w:r>
        <w:t>Si la intensidad de corriente que circulase por algún tramo concreto de la instalación fuese muy elevada, puede estudiarse la sustitución de cables por barras de cobre debidamente blindadas.</w:t>
      </w:r>
    </w:p>
    <w:p w:rsidR="00C7085E" w:rsidRDefault="00C7085E" w:rsidP="00B71B1A">
      <w:pPr>
        <w:spacing w:before="120" w:after="240" w:line="276" w:lineRule="auto"/>
        <w:ind w:right="-285"/>
      </w:pPr>
      <w:r>
        <w:t xml:space="preserve">El tendido de cables, según la parte de instalación a que pertenezcan, podrá realizarse de forma subterránea, sobre bandejas o bajo tubo. Se realizarán canalizaciones independientes por tensiones y dentro de éstas, los conductores tendrán colores </w:t>
      </w:r>
      <w:r>
        <w:lastRenderedPageBreak/>
        <w:t>diferentes según al tipo de circuito que correspondan (mando, señalización, etc.).</w:t>
      </w:r>
    </w:p>
    <w:p w:rsidR="00C7085E" w:rsidRDefault="00C7085E" w:rsidP="00B71B1A">
      <w:pPr>
        <w:spacing w:before="120" w:after="240" w:line="276" w:lineRule="auto"/>
        <w:ind w:right="-285"/>
      </w:pPr>
      <w:r>
        <w:t>Siempre que sea posible, las canalizaciones eléctricas se llevarán por galerías de inspección y vigilancia sobre bandejas perforadas de acero laminado en frío y galvanizadas en caliente posteriormente a su mecanización, según UNE-EN ISO 1461, colocadas en la parte más alta de ésta y a unos treinta centímetros (30 cm.) por debajo de la losa de cierre, preferentemente fijadas sobre la pared en disposición vertical.</w:t>
      </w:r>
    </w:p>
    <w:p w:rsidR="00C7085E" w:rsidRDefault="00C7085E" w:rsidP="00B71B1A">
      <w:pPr>
        <w:spacing w:before="120" w:after="240" w:line="276" w:lineRule="auto"/>
        <w:ind w:right="-285"/>
      </w:pPr>
      <w:r>
        <w:t>Dentro de los edificios, se canalizarán sobre bandejas portacables de PVC rígido M-1, preferentemente fijadas sobre la pared en disposición vertical, mediante soportes adecuados. Las ramificaciones desde éstas hasta los receptores se canalizarán en tubos del mismo material que las bandejas.</w:t>
      </w:r>
    </w:p>
    <w:p w:rsidR="00C7085E" w:rsidRDefault="00C7085E" w:rsidP="00B71B1A">
      <w:pPr>
        <w:spacing w:before="120" w:after="240" w:line="276" w:lineRule="auto"/>
        <w:ind w:right="-285"/>
      </w:pPr>
      <w:r>
        <w:t>En recorridos intrincados, se podrá utilizar bandejas de varillas electrosoldadas galvanizadas en caliente siendo éstas, cosidas mediante cable de cobre desnudo de al menos treinta y cinco milímetros cuadrados (35 mm</w:t>
      </w:r>
      <w:r>
        <w:rPr>
          <w:vertAlign w:val="superscript"/>
        </w:rPr>
        <w:t>2</w:t>
      </w:r>
      <w:r>
        <w:t>), perfectamente grapado y conectado a la tierra de protección de masas de utilización.</w:t>
      </w:r>
    </w:p>
    <w:p w:rsidR="00C7085E" w:rsidRDefault="00C7085E" w:rsidP="00B71B1A">
      <w:pPr>
        <w:spacing w:before="120" w:after="240" w:line="276" w:lineRule="auto"/>
        <w:ind w:right="-285"/>
      </w:pPr>
      <w:r>
        <w:t>La instalación dispondrá con cajas de registro en material plástico o PVC accesibles para la inspección y manipulación de los cables. Estarán dotadas de prensaestopas para  la entrada y salida de cables. Dispondrán un grado IP54.</w:t>
      </w:r>
    </w:p>
    <w:p w:rsidR="00C7085E" w:rsidRDefault="00C7085E" w:rsidP="00B71B1A">
      <w:pPr>
        <w:spacing w:before="120" w:after="240" w:line="276" w:lineRule="auto"/>
        <w:ind w:right="-285"/>
      </w:pPr>
      <w:r>
        <w:t>Las canalizaciones que hayan de realizarse en el exterior, podrán ser aéreas o subterráneas.</w:t>
      </w:r>
    </w:p>
    <w:p w:rsidR="00C7085E" w:rsidRDefault="00C7085E" w:rsidP="00B71B1A">
      <w:pPr>
        <w:spacing w:before="120" w:after="240" w:line="276" w:lineRule="auto"/>
        <w:ind w:right="-285"/>
      </w:pPr>
      <w:r>
        <w:t>Las canalizaciones aéreas, serán metálicas y galvanizadas en caliente. Se podrán canalizar bajo tubo metálico, sobre bandejas portacables metálicas de acero laminado en frío o sobre bandeja portacables de varillas electrosoldadas siendo estas últimas, cosidas mediante cable de cobre desnudo de al menos treinta y cinco milímetros cuadrados (35 mm</w:t>
      </w:r>
      <w:r>
        <w:rPr>
          <w:vertAlign w:val="superscript"/>
        </w:rPr>
        <w:t>2</w:t>
      </w:r>
      <w:r>
        <w:t>). Las bandejas portacables siempre estarán dotadas con tapa.</w:t>
      </w:r>
    </w:p>
    <w:p w:rsidR="00C7085E" w:rsidRDefault="00C7085E" w:rsidP="00B71B1A">
      <w:pPr>
        <w:spacing w:before="120" w:after="240" w:line="276" w:lineRule="auto"/>
        <w:ind w:right="-285"/>
      </w:pPr>
      <w:r>
        <w:t xml:space="preserve">La instalación dispondrá de cajas de registro accesibles, en aleación de aluminio, debidamente dimensionadas para la inspección y manipulación de los cables, siendo sus medidas mínimas de 120 mm x 120 mm x 60mm. </w:t>
      </w:r>
    </w:p>
    <w:p w:rsidR="00C7085E" w:rsidRDefault="00C7085E" w:rsidP="00B71B1A">
      <w:pPr>
        <w:spacing w:before="120" w:after="240" w:line="276" w:lineRule="auto"/>
        <w:ind w:right="-285"/>
      </w:pPr>
      <w:r>
        <w:t xml:space="preserve">Estarán dotadas de presaesopas metálicos para la entrada y salida de cables. Dispondrán de un grado de protección IP67. </w:t>
      </w:r>
    </w:p>
    <w:p w:rsidR="00C7085E" w:rsidRDefault="00C7085E" w:rsidP="00B71B1A">
      <w:pPr>
        <w:spacing w:before="120" w:after="240" w:line="276" w:lineRule="auto"/>
        <w:ind w:right="-285"/>
      </w:pPr>
      <w:r>
        <w:t xml:space="preserve">Las canalizaciones subterráneas serán entubadas y dispondrán de los elementos de protección y señalización que prescriba la reglamentación vigente en el momento de efectuarse el montaje. Durante éste, se dejará metida la guía para el posterior paso de cables. </w:t>
      </w:r>
    </w:p>
    <w:p w:rsidR="00C7085E" w:rsidRDefault="00C7085E" w:rsidP="00B71B1A">
      <w:pPr>
        <w:spacing w:before="120" w:after="240" w:line="276" w:lineRule="auto"/>
        <w:ind w:right="-285"/>
      </w:pPr>
      <w:r>
        <w:t>Se construirán el suficiente número de arquetas, debidamente dimensionadas, para que puedan sustituirse cables con facilidad. Los cables estarán etiquetados de forma permanente a su paso por cada arqueta.</w:t>
      </w:r>
    </w:p>
    <w:p w:rsidR="00C7085E" w:rsidRDefault="00C7085E" w:rsidP="00B71B1A">
      <w:pPr>
        <w:spacing w:before="120" w:after="240" w:line="276" w:lineRule="auto"/>
        <w:ind w:right="-285"/>
      </w:pPr>
      <w:r>
        <w:t xml:space="preserve">Las arquetas se ubicarán de tal modo, que garanticen el aislamiento y eviten el </w:t>
      </w:r>
      <w:r>
        <w:lastRenderedPageBreak/>
        <w:t>intercambio de ambientes entre  las diferentes salas o zonas de la instalación.</w:t>
      </w:r>
    </w:p>
    <w:p w:rsidR="00C7085E" w:rsidRDefault="00C7085E" w:rsidP="00B71B1A">
      <w:pPr>
        <w:spacing w:before="120" w:after="240" w:line="276" w:lineRule="auto"/>
        <w:ind w:right="-285"/>
      </w:pPr>
      <w:r>
        <w:t>El número de capas será de tres (3) en los tendidos subterráneos y de dos (2) sobre bandeja.</w:t>
      </w:r>
    </w:p>
    <w:p w:rsidR="00C7085E" w:rsidRDefault="00C7085E" w:rsidP="00B71B1A">
      <w:pPr>
        <w:spacing w:before="120" w:after="240" w:line="276" w:lineRule="auto"/>
        <w:ind w:right="-285"/>
      </w:pPr>
      <w:r>
        <w:t>Los circuitos de fuerza a cuatrocientos/doscientos treinta voltios (400/230VAC) y los de mando y señalización a veinticuatro voltios (24 VAC) se llevarán por canalizaciones separadas por tensiones.</w:t>
      </w:r>
    </w:p>
    <w:p w:rsidR="00C7085E" w:rsidRDefault="00C7085E" w:rsidP="00B71B1A">
      <w:pPr>
        <w:spacing w:before="120" w:after="240" w:line="276" w:lineRule="auto"/>
        <w:ind w:right="-285"/>
      </w:pPr>
      <w:r>
        <w:t>Todas las conexiones se efectuarán dentro de cajas de derivación, que serán estancas, y se realizarán por medio de bornas de carril DIN.</w:t>
      </w:r>
    </w:p>
    <w:p w:rsidR="00C7085E" w:rsidRDefault="00C7085E" w:rsidP="00B71B1A">
      <w:pPr>
        <w:spacing w:before="120" w:after="240" w:line="276" w:lineRule="auto"/>
        <w:ind w:right="-285"/>
      </w:pPr>
      <w:r>
        <w:t xml:space="preserve">Para cada zona de la instalación </w:t>
      </w:r>
      <w:proofErr w:type="gramStart"/>
      <w:r>
        <w:t>existirán</w:t>
      </w:r>
      <w:proofErr w:type="gramEnd"/>
      <w:r>
        <w:t xml:space="preserve"> tomas de corriente, repartidas uniformemente en la superficie de la parcela. Se dotará de un mínimo de dos por planta o instalación.</w:t>
      </w:r>
    </w:p>
    <w:p w:rsidR="00C7085E" w:rsidRDefault="00C7085E" w:rsidP="00B71B1A">
      <w:pPr>
        <w:spacing w:before="120" w:after="240" w:line="276" w:lineRule="auto"/>
        <w:ind w:right="-285"/>
      </w:pPr>
      <w:r>
        <w:t xml:space="preserve">Se instalarán en una única envolvente de características similares a los cuadros locales. </w:t>
      </w:r>
    </w:p>
    <w:p w:rsidR="00C7085E" w:rsidRDefault="00C7085E" w:rsidP="00B71B1A">
      <w:pPr>
        <w:spacing w:before="120" w:after="240" w:line="276" w:lineRule="auto"/>
        <w:ind w:right="-285"/>
      </w:pPr>
      <w:r>
        <w:t>Se les dotará de acometida única y constarán de al menos, una base enchufe mural estanca de 3P+T de 32 Amperios para servicios, una base enchufe mural estanca de 2P+T de 16 Amperios y una base enchufe mural estanca de 2P+T de 16 Amperios tipo schuko. Cada una de las tomas dispondrá de protección magnetotérmica y diferencial general.</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Se comprobara que se corresponde con lo especificado en el proyecto.</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keepNext/>
        <w:spacing w:before="120" w:after="240" w:line="276" w:lineRule="auto"/>
        <w:ind w:right="-285"/>
      </w:pPr>
      <w:bookmarkStart w:id="811" w:name="_Toc392586279"/>
      <w:r>
        <w:t>Las canalizaciones subterráneas para BT se medirán por metro (m) y se abonarán, atendiendo al tipo de terreno en el que se ejecute, por aplicación del precio que corresponda de los que figuren en el Cuadro de Precios vigente de Canal de Isabel II Gestión.</w:t>
      </w:r>
    </w:p>
    <w:p w:rsidR="00C7085E" w:rsidRDefault="00C7085E" w:rsidP="00B71B1A">
      <w:pPr>
        <w:spacing w:before="120" w:after="240" w:line="276" w:lineRule="auto"/>
        <w:ind w:right="-285"/>
      </w:pPr>
      <w:r>
        <w:t>En el caso de canalizaciones de superficie se medirán por metro (m) y se abonarán por aplicación del precio que corresponda de los que figuren en el Cuadro de Precios vigente de Canal de Isabel II Gestión.</w:t>
      </w:r>
    </w:p>
    <w:p w:rsidR="00C7085E" w:rsidRDefault="00C7085E" w:rsidP="00B71B1A">
      <w:pPr>
        <w:spacing w:before="120" w:after="240" w:line="276" w:lineRule="auto"/>
        <w:ind w:right="-285"/>
      </w:pPr>
      <w:r>
        <w:t>Las cajas, prensaestopas y cajas de registro se medirán por unidad (ud) instalada en obra y se abonarán por aplicación del precio que corresponda de los que figuren en el Cuadro de Precios vigente de Canal de Isabel II Gestión.</w:t>
      </w:r>
    </w:p>
    <w:p w:rsidR="00C7085E" w:rsidRDefault="00C7085E" w:rsidP="00B71B1A">
      <w:pPr>
        <w:spacing w:before="120" w:after="240" w:line="276" w:lineRule="auto"/>
        <w:ind w:right="-285"/>
      </w:pPr>
      <w:r>
        <w:t>El cable se medirá por metro (m), en función de su tipo, nivel de aislamiento (kV), sección (mm</w:t>
      </w:r>
      <w:r>
        <w:rPr>
          <w:vertAlign w:val="superscript"/>
        </w:rPr>
        <w:t>2</w:t>
      </w:r>
      <w:r>
        <w:t>), cubierta, y forma de instalación (bajo tubo, en el interior de conductos, instalación volada o grapada) y se abonará por aplicación del precio que corresponda de los que figuren en el Cuadro de Precios vigente de Canal de Isabel II Gestión.</w:t>
      </w:r>
    </w:p>
    <w:p w:rsidR="00A9273B" w:rsidRDefault="00C7085E" w:rsidP="0032619C">
      <w:pPr>
        <w:spacing w:before="120" w:after="240" w:line="276" w:lineRule="auto"/>
        <w:ind w:right="-285"/>
        <w:rPr>
          <w:rFonts w:ascii="Arial Negrita" w:hAnsi="Arial Negrita"/>
          <w:b/>
          <w:snapToGrid w:val="0"/>
        </w:rPr>
      </w:pPr>
      <w:r>
        <w:t xml:space="preserve">Los mecanismos de baja tensión se abonarán mediante la aplicación del </w:t>
      </w:r>
      <w:bookmarkStart w:id="812" w:name="_Toc414022110"/>
      <w:r>
        <w:t xml:space="preserve">precio que corresponda de los que figuren en el Cuadro de Precios vigente de Canal de Isabel II </w:t>
      </w:r>
      <w:r>
        <w:lastRenderedPageBreak/>
        <w:t>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13" w:name="_Toc448741507"/>
      <w:r>
        <w:t>Motores</w:t>
      </w:r>
      <w:bookmarkEnd w:id="811"/>
      <w:bookmarkEnd w:id="812"/>
      <w:bookmarkEnd w:id="813"/>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keepNext/>
        <w:keepLines/>
        <w:spacing w:before="120" w:after="240" w:line="276" w:lineRule="auto"/>
        <w:ind w:right="-285"/>
      </w:pPr>
      <w:r>
        <w:t>Las características serán, en general, las siguientes:</w:t>
      </w:r>
    </w:p>
    <w:p w:rsidR="00C7085E" w:rsidRDefault="00C7085E" w:rsidP="00B71B1A">
      <w:pPr>
        <w:keepNext/>
        <w:keepLines/>
        <w:widowControl/>
        <w:numPr>
          <w:ilvl w:val="0"/>
          <w:numId w:val="31"/>
        </w:numPr>
        <w:suppressAutoHyphens/>
        <w:spacing w:before="120" w:after="240" w:line="276" w:lineRule="auto"/>
        <w:ind w:right="-285"/>
      </w:pPr>
      <w:r>
        <w:t xml:space="preserve">Tipo jaula de ardilla, con forma constructiva IM 1001. </w:t>
      </w:r>
    </w:p>
    <w:p w:rsidR="00C7085E" w:rsidRDefault="00C7085E" w:rsidP="00B71B1A">
      <w:pPr>
        <w:widowControl/>
        <w:numPr>
          <w:ilvl w:val="0"/>
          <w:numId w:val="31"/>
        </w:numPr>
        <w:suppressAutoHyphens/>
        <w:spacing w:before="120" w:after="240" w:line="276" w:lineRule="auto"/>
        <w:ind w:left="714" w:right="-285" w:hanging="357"/>
      </w:pPr>
      <w:r>
        <w:t>Tensión: Cuatrocientos/doscientos treinta voltios (400/230 V) para los motores inferiores a dieciocho con cinco kilovatios (18,5 kW) y seiscientos noventa/cuatrocientos voltios (690/400V) para los de potencia igual o superior a dieciocho con cinco kilovatios (18,5 kW). En caso de potencias superiores a trescientos kilovatios (300 kW) los motores serán de alta tensión.</w:t>
      </w:r>
    </w:p>
    <w:p w:rsidR="00C7085E" w:rsidRDefault="00C7085E" w:rsidP="00B71B1A">
      <w:pPr>
        <w:widowControl/>
        <w:numPr>
          <w:ilvl w:val="0"/>
          <w:numId w:val="31"/>
        </w:numPr>
        <w:suppressAutoHyphens/>
        <w:spacing w:before="120" w:after="240" w:line="276" w:lineRule="auto"/>
        <w:ind w:right="-285"/>
      </w:pPr>
      <w:r>
        <w:t>Frecuencia: 50 Hz.</w:t>
      </w:r>
    </w:p>
    <w:p w:rsidR="00C7085E" w:rsidRDefault="00C7085E" w:rsidP="00B71B1A">
      <w:pPr>
        <w:widowControl/>
        <w:numPr>
          <w:ilvl w:val="0"/>
          <w:numId w:val="31"/>
        </w:numPr>
        <w:suppressAutoHyphens/>
        <w:spacing w:before="120" w:after="240" w:line="276" w:lineRule="auto"/>
        <w:ind w:right="-285"/>
      </w:pPr>
      <w:r>
        <w:t>Aislamiento: Clase F</w:t>
      </w:r>
    </w:p>
    <w:p w:rsidR="00C7085E" w:rsidRDefault="00C7085E" w:rsidP="00B71B1A">
      <w:pPr>
        <w:widowControl/>
        <w:numPr>
          <w:ilvl w:val="0"/>
          <w:numId w:val="31"/>
        </w:numPr>
        <w:suppressAutoHyphens/>
        <w:spacing w:before="120" w:after="240" w:line="276" w:lineRule="auto"/>
        <w:ind w:right="-285"/>
      </w:pPr>
      <w:r>
        <w:t>Calentamiento: Clase B</w:t>
      </w:r>
    </w:p>
    <w:p w:rsidR="00C7085E" w:rsidRDefault="00C7085E" w:rsidP="00B71B1A">
      <w:pPr>
        <w:widowControl/>
        <w:numPr>
          <w:ilvl w:val="0"/>
          <w:numId w:val="31"/>
        </w:numPr>
        <w:suppressAutoHyphens/>
        <w:spacing w:before="120" w:after="240" w:line="276" w:lineRule="auto"/>
        <w:ind w:right="-285"/>
        <w:rPr>
          <w:rFonts w:cs="Arial"/>
          <w:i/>
          <w:szCs w:val="22"/>
        </w:rPr>
      </w:pPr>
      <w:r>
        <w:rPr>
          <w:szCs w:val="22"/>
        </w:rPr>
        <w:t>Vibración: Cumplirán con la norma UNE-EN 60034-14:”</w:t>
      </w:r>
      <w:r>
        <w:rPr>
          <w:rFonts w:cs="Arial"/>
          <w:bCs/>
          <w:i/>
          <w:color w:val="000000"/>
          <w:szCs w:val="22"/>
          <w:shd w:val="clear" w:color="auto" w:fill="F9F9F9"/>
        </w:rPr>
        <w:t>Máquinas eléctricas rotativas. Parte 14: Vibraciones mecánicas de determinadas máquinas con altura de eje igual o superior a 56 mm. Medición, evaluación y límites de la intensidad de vibración”</w:t>
      </w:r>
      <w:r>
        <w:t>; Grado A para motores con P&lt;75 kW, Grado B para motores con P≥75 kW (tamaño CEI 315L o mayores).</w:t>
      </w:r>
    </w:p>
    <w:p w:rsidR="00C7085E" w:rsidRDefault="00C7085E" w:rsidP="00B71B1A">
      <w:pPr>
        <w:widowControl/>
        <w:numPr>
          <w:ilvl w:val="0"/>
          <w:numId w:val="31"/>
        </w:numPr>
        <w:suppressAutoHyphens/>
        <w:spacing w:before="120" w:after="240" w:line="276" w:lineRule="auto"/>
        <w:ind w:right="-285"/>
      </w:pPr>
      <w:r>
        <w:t>Ambiente: Exterior. Temperatura ambiente de 40º C.</w:t>
      </w:r>
    </w:p>
    <w:p w:rsidR="00C7085E" w:rsidRDefault="00C7085E" w:rsidP="00B71B1A">
      <w:pPr>
        <w:widowControl/>
        <w:numPr>
          <w:ilvl w:val="0"/>
          <w:numId w:val="31"/>
        </w:numPr>
        <w:suppressAutoHyphens/>
        <w:spacing w:before="120" w:after="240" w:line="276" w:lineRule="auto"/>
        <w:ind w:right="-285"/>
      </w:pPr>
      <w:r>
        <w:t>Carcasa y ventilador: Provistos de pintura anticorrosiva.</w:t>
      </w:r>
    </w:p>
    <w:p w:rsidR="00C7085E" w:rsidRDefault="00C7085E" w:rsidP="00B71B1A">
      <w:pPr>
        <w:widowControl/>
        <w:numPr>
          <w:ilvl w:val="0"/>
          <w:numId w:val="31"/>
        </w:numPr>
        <w:suppressAutoHyphens/>
        <w:spacing w:before="120" w:after="240" w:line="276" w:lineRule="auto"/>
        <w:ind w:right="-285"/>
      </w:pPr>
      <w:r>
        <w:t xml:space="preserve">Protección: Completamente cerrados. Clase IP 68, a excepción de los situados en las zonas de las plantas en que puedan existir gases explosivos, donde deberán cumplirse las exigencias de la Instrucción Técnica Complementaria ITC-BT-29 del Reglamento Electrotécnico para Baja Tensión aprobado por Real Decreto 842/2002. </w:t>
      </w:r>
    </w:p>
    <w:p w:rsidR="00C7085E" w:rsidRDefault="00C7085E" w:rsidP="00B71B1A">
      <w:pPr>
        <w:widowControl/>
        <w:numPr>
          <w:ilvl w:val="0"/>
          <w:numId w:val="31"/>
        </w:numPr>
        <w:suppressAutoHyphens/>
        <w:spacing w:before="120" w:after="240" w:line="276" w:lineRule="auto"/>
        <w:ind w:right="-285"/>
      </w:pPr>
      <w:r>
        <w:t>Arranque: directo hasta 10 kW, mediante arrancador electrónico entre 10 y 18,5 kW y mediante arrancador estático para potencias mayores de 18,5 kW, según especificaciones de las correspondientes fichas técnicas. Para elevadoras de agua potable, el arranque será directo hasta 40 kW y mediante arrancador estático hasta 300 kW.</w:t>
      </w:r>
    </w:p>
    <w:p w:rsidR="00C7085E" w:rsidRDefault="00C7085E" w:rsidP="00B71B1A">
      <w:pPr>
        <w:widowControl/>
        <w:numPr>
          <w:ilvl w:val="0"/>
          <w:numId w:val="31"/>
        </w:numPr>
        <w:suppressAutoHyphens/>
        <w:spacing w:before="120" w:after="240" w:line="276" w:lineRule="auto"/>
        <w:ind w:right="-285"/>
      </w:pPr>
      <w:r>
        <w:t>Eficiencia: Motores de 0,75 hasta 375 kW deberán ser IE3. Solo en el caso de que el motor esté accionado por variador de frecuencia, este podrá ser IE2. Motores de potencia superior a 375 kW deberán ser IE3.</w:t>
      </w:r>
    </w:p>
    <w:p w:rsidR="00C7085E" w:rsidRDefault="00C7085E" w:rsidP="00B71B1A">
      <w:pPr>
        <w:widowControl/>
        <w:numPr>
          <w:ilvl w:val="0"/>
          <w:numId w:val="31"/>
        </w:numPr>
        <w:suppressAutoHyphens/>
        <w:spacing w:before="120" w:after="240" w:line="276" w:lineRule="auto"/>
        <w:ind w:right="-285"/>
      </w:pPr>
      <w:r>
        <w:lastRenderedPageBreak/>
        <w:t>Normas CEI y UNE, referentes a máquinas eléctricas rotativas.</w:t>
      </w:r>
    </w:p>
    <w:p w:rsidR="00C7085E" w:rsidRDefault="00C7085E" w:rsidP="00B71B1A">
      <w:pPr>
        <w:spacing w:before="120" w:after="240" w:line="276" w:lineRule="auto"/>
        <w:ind w:right="-285"/>
      </w:pPr>
      <w:r>
        <w:t>Estas características sólo podrán ser obviadas en el caso de motores de accionamiento de máquinas especiales, debidamente justificadas.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keepNext/>
        <w:keepLines/>
        <w:spacing w:before="120" w:after="240" w:line="276" w:lineRule="auto"/>
        <w:ind w:right="-285"/>
      </w:pPr>
      <w:r>
        <w:t>Relés electrónicos multifunción:</w:t>
      </w:r>
    </w:p>
    <w:p w:rsidR="00C7085E" w:rsidRDefault="00C7085E" w:rsidP="00B71B1A">
      <w:pPr>
        <w:keepNext/>
        <w:keepLines/>
        <w:widowControl/>
        <w:numPr>
          <w:ilvl w:val="0"/>
          <w:numId w:val="31"/>
        </w:numPr>
        <w:suppressAutoHyphens/>
        <w:spacing w:before="120" w:after="240" w:line="276" w:lineRule="auto"/>
        <w:ind w:left="714" w:right="-285" w:hanging="357"/>
      </w:pPr>
      <w:r>
        <w:t xml:space="preserve">Potencias igual o superior a 18,5 kW y menores a 75 kW: llevarán protecciones contra sobrecargas, defecto a tierra, inversión de fase, fallo de fase y asimetría, y térmica de devanados a través de termistancias. </w:t>
      </w:r>
    </w:p>
    <w:p w:rsidR="00C7085E" w:rsidRDefault="00C7085E" w:rsidP="00B71B1A">
      <w:pPr>
        <w:widowControl/>
        <w:numPr>
          <w:ilvl w:val="0"/>
          <w:numId w:val="31"/>
        </w:numPr>
        <w:suppressAutoHyphens/>
        <w:spacing w:before="120" w:after="240" w:line="276" w:lineRule="auto"/>
        <w:ind w:left="714" w:right="-285" w:hanging="357"/>
      </w:pPr>
      <w:r>
        <w:t>Potencias igual o superior a 75 kW: llevarán protecciones contra sobrecargas, fallo de fase, defecto a tierra, bloqueo, inversión de fases, asimetría de fases, subcarga y térmica en devanados a través de termistancias. Además dispondrán de  resistencias de caldeo para evitar condensaciones y sondas termométricas para vigilancia de la temperatura de los cojinetes, con dispositivo de alarma por calentamiento de los mismos.</w:t>
      </w:r>
    </w:p>
    <w:p w:rsidR="00C7085E" w:rsidRDefault="00C7085E" w:rsidP="00B71B1A">
      <w:pPr>
        <w:spacing w:before="120" w:after="240" w:line="276" w:lineRule="auto"/>
        <w:ind w:right="-285"/>
      </w:pPr>
      <w:r>
        <w:t>Los motores con potencia superior a 75 KW llevarán resistencias de caldeo que se conectarán y desconectarán automáticamente al pararse y arrancarse el motor. Asimismo llevarán sondas termométricas para la medida de la temperatura de los rodamientos, con dispositivos de alarma por calentamiento de los mismos.</w:t>
      </w:r>
    </w:p>
    <w:p w:rsidR="00C7085E" w:rsidRDefault="00C7085E" w:rsidP="00B71B1A">
      <w:pPr>
        <w:spacing w:before="120" w:after="240" w:line="276" w:lineRule="auto"/>
        <w:ind w:right="-285"/>
      </w:pPr>
      <w:r>
        <w:t>Se colocarán termistancias CTP para aquellos motores cuya potencia sea igual o superior a 18,5 KW.</w:t>
      </w:r>
    </w:p>
    <w:p w:rsidR="00C7085E" w:rsidRDefault="00C7085E" w:rsidP="00B71B1A">
      <w:pPr>
        <w:spacing w:before="120" w:after="240" w:line="276" w:lineRule="auto"/>
        <w:ind w:right="-285"/>
      </w:pPr>
      <w:r>
        <w:t>Los motores con posición de montaje IM-1011, IM-3011, IM-3611 Y IM-2011 instalados en el exterior, deberán estar previstos con doble protector de entrada de aire del ventilador o caperuza para evitar su inundación.</w:t>
      </w:r>
    </w:p>
    <w:p w:rsidR="00C7085E" w:rsidRDefault="00C7085E" w:rsidP="00B71B1A">
      <w:pPr>
        <w:spacing w:before="120" w:after="240" w:line="276" w:lineRule="auto"/>
        <w:ind w:right="-285"/>
      </w:pPr>
      <w:r>
        <w:t>Los motores tienen que ser de fácil accesibilidad para todos los trabajos de mantenimiento.</w:t>
      </w:r>
    </w:p>
    <w:p w:rsidR="00C7085E" w:rsidRDefault="00C7085E" w:rsidP="00B71B1A">
      <w:pPr>
        <w:spacing w:before="120" w:after="240" w:line="276" w:lineRule="auto"/>
        <w:ind w:right="-285"/>
      </w:pPr>
      <w:r>
        <w:t>El aire de refrigeración no debe tener impedimentos físicos en su circulación.</w:t>
      </w:r>
    </w:p>
    <w:p w:rsidR="00C7085E" w:rsidRDefault="00C7085E" w:rsidP="00B71B1A">
      <w:pPr>
        <w:spacing w:before="120" w:after="240" w:line="276" w:lineRule="auto"/>
        <w:ind w:right="-285"/>
      </w:pPr>
      <w:r>
        <w:t>Si después del montaje del motor no fuera bien legible la placa de características, hay que ponerle una segunda placa en una zona que permita su fácil lectura.</w:t>
      </w:r>
    </w:p>
    <w:p w:rsidR="00C7085E" w:rsidRDefault="00C7085E" w:rsidP="00B71B1A">
      <w:pPr>
        <w:spacing w:before="120" w:after="240" w:line="276" w:lineRule="auto"/>
        <w:ind w:right="-285"/>
      </w:pPr>
      <w:r>
        <w:t>Si un sentido de giro falso pudiera conducir a un perjuicio, se tendrá que marcar de forma claramente visible el sentido nominal de giro en el motor.</w:t>
      </w:r>
    </w:p>
    <w:p w:rsidR="00C7085E" w:rsidRDefault="00C7085E" w:rsidP="00B71B1A">
      <w:pPr>
        <w:spacing w:before="120" w:after="240" w:line="276" w:lineRule="auto"/>
        <w:ind w:right="-285"/>
      </w:pPr>
      <w:r>
        <w:t>El arranque de los motores se podrá efectuar de forma manual desde conmutador ubicado en cuadro eléctrico o cuando estos se ubiquen remotamente desde botonera situada al pie del motor.</w:t>
      </w:r>
    </w:p>
    <w:p w:rsidR="00C7085E" w:rsidRDefault="00C7085E" w:rsidP="00B71B1A">
      <w:pPr>
        <w:spacing w:before="120" w:after="240" w:line="276" w:lineRule="auto"/>
        <w:ind w:right="-285"/>
      </w:pPr>
      <w:r>
        <w:t xml:space="preserve">La botonera a pie de motor será de tipo de caja estanca de fundición de Al, con un grado de protección IP-65. Tendrá selector O (parada), M (manual), A (automático), así como </w:t>
      </w:r>
      <w:r>
        <w:lastRenderedPageBreak/>
        <w:t>pulsador de parada de emergencia y serán instaladas sobre soportes del tipo Canal de Isabel II Gestión.</w:t>
      </w:r>
    </w:p>
    <w:p w:rsidR="00C7085E" w:rsidRDefault="00C7085E" w:rsidP="00B71B1A">
      <w:pPr>
        <w:spacing w:before="120" w:after="240" w:line="276" w:lineRule="auto"/>
        <w:ind w:right="-285"/>
      </w:pPr>
      <w:r>
        <w:t>Además, el motor se podrá arrancar de modo automático desde el PLC. Los motores tipo CEI 315 o mayores accionados por variador de velocidad, dispondrán de cojinete asilado en el extremo pasivo.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De todos los motores a instalar se exigirá Protocolo de Pruebas, que recogerá como mínimo los siguientes controles:</w:t>
      </w:r>
    </w:p>
    <w:p w:rsidR="00C7085E" w:rsidRDefault="00C7085E" w:rsidP="00B71B1A">
      <w:pPr>
        <w:widowControl/>
        <w:numPr>
          <w:ilvl w:val="0"/>
          <w:numId w:val="32"/>
        </w:numPr>
        <w:suppressAutoHyphens/>
        <w:spacing w:before="120" w:after="240" w:line="276" w:lineRule="auto"/>
        <w:ind w:left="714" w:right="-285" w:hanging="357"/>
      </w:pPr>
      <w:r>
        <w:t>Ensayo de cortocircuito.</w:t>
      </w:r>
    </w:p>
    <w:p w:rsidR="00C7085E" w:rsidRDefault="00C7085E" w:rsidP="00B71B1A">
      <w:pPr>
        <w:widowControl/>
        <w:numPr>
          <w:ilvl w:val="0"/>
          <w:numId w:val="32"/>
        </w:numPr>
        <w:suppressAutoHyphens/>
        <w:spacing w:before="120" w:after="240" w:line="276" w:lineRule="auto"/>
        <w:ind w:left="714" w:right="-285" w:hanging="357"/>
      </w:pPr>
      <w:r>
        <w:t>Ensayo de vacío.</w:t>
      </w:r>
    </w:p>
    <w:p w:rsidR="00C7085E" w:rsidRDefault="00C7085E" w:rsidP="00B71B1A">
      <w:pPr>
        <w:widowControl/>
        <w:numPr>
          <w:ilvl w:val="0"/>
          <w:numId w:val="32"/>
        </w:numPr>
        <w:suppressAutoHyphens/>
        <w:spacing w:before="120" w:after="240" w:line="276" w:lineRule="auto"/>
        <w:ind w:left="714" w:right="-285" w:hanging="357"/>
      </w:pPr>
      <w:r>
        <w:t>Ensayo de calentamiento.</w:t>
      </w:r>
    </w:p>
    <w:p w:rsidR="00C7085E" w:rsidRDefault="00C7085E" w:rsidP="00B71B1A">
      <w:pPr>
        <w:widowControl/>
        <w:numPr>
          <w:ilvl w:val="0"/>
          <w:numId w:val="32"/>
        </w:numPr>
        <w:suppressAutoHyphens/>
        <w:spacing w:before="120" w:after="240" w:line="276" w:lineRule="auto"/>
        <w:ind w:left="714" w:right="-285" w:hanging="357"/>
      </w:pPr>
      <w:r>
        <w:t>Rendimiento a 2/4, 3/4 y 4/4 de plena carga.</w:t>
      </w:r>
    </w:p>
    <w:p w:rsidR="00C7085E" w:rsidRDefault="00C7085E" w:rsidP="00B71B1A">
      <w:pPr>
        <w:widowControl/>
        <w:numPr>
          <w:ilvl w:val="0"/>
          <w:numId w:val="32"/>
        </w:numPr>
        <w:suppressAutoHyphens/>
        <w:spacing w:before="120" w:after="240" w:line="276" w:lineRule="auto"/>
        <w:ind w:left="714" w:right="-285" w:hanging="357"/>
      </w:pPr>
      <w:r>
        <w:t>Factor de potencia a 2/4, 3/4 y 4/4 de plena carga.</w:t>
      </w:r>
    </w:p>
    <w:p w:rsidR="00C7085E" w:rsidRDefault="00C7085E" w:rsidP="00B71B1A">
      <w:pPr>
        <w:widowControl/>
        <w:numPr>
          <w:ilvl w:val="0"/>
          <w:numId w:val="32"/>
        </w:numPr>
        <w:suppressAutoHyphens/>
        <w:spacing w:before="120" w:after="240" w:line="276" w:lineRule="auto"/>
        <w:ind w:left="714" w:right="-285" w:hanging="357"/>
      </w:pPr>
      <w:r>
        <w:t>Pérdidas globales.</w:t>
      </w:r>
    </w:p>
    <w:p w:rsidR="00C7085E" w:rsidRDefault="00C7085E" w:rsidP="00B71B1A">
      <w:pPr>
        <w:widowControl/>
        <w:numPr>
          <w:ilvl w:val="0"/>
          <w:numId w:val="32"/>
        </w:numPr>
        <w:suppressAutoHyphens/>
        <w:spacing w:before="120" w:after="240" w:line="276" w:lineRule="auto"/>
        <w:ind w:left="714" w:right="-285" w:hanging="357"/>
      </w:pPr>
      <w:r>
        <w:t>Par máximo.</w:t>
      </w:r>
    </w:p>
    <w:p w:rsidR="00C7085E" w:rsidRDefault="00C7085E" w:rsidP="00B71B1A">
      <w:pPr>
        <w:widowControl/>
        <w:numPr>
          <w:ilvl w:val="0"/>
          <w:numId w:val="32"/>
        </w:numPr>
        <w:suppressAutoHyphens/>
        <w:spacing w:before="120" w:after="240" w:line="276" w:lineRule="auto"/>
        <w:ind w:left="714" w:right="-285" w:hanging="357"/>
      </w:pPr>
      <w:r>
        <w:t>Par inicial.</w:t>
      </w:r>
    </w:p>
    <w:p w:rsidR="00C7085E" w:rsidRDefault="00C7085E" w:rsidP="00B71B1A">
      <w:pPr>
        <w:widowControl/>
        <w:numPr>
          <w:ilvl w:val="0"/>
          <w:numId w:val="32"/>
        </w:numPr>
        <w:suppressAutoHyphens/>
        <w:spacing w:before="120" w:after="240" w:line="276" w:lineRule="auto"/>
        <w:ind w:left="714" w:right="-285" w:hanging="357"/>
      </w:pPr>
      <w:r>
        <w:t>Nivel de ruido.</w:t>
      </w:r>
    </w:p>
    <w:p w:rsidR="00C7085E" w:rsidRDefault="00C7085E" w:rsidP="00B71B1A">
      <w:pPr>
        <w:widowControl/>
        <w:numPr>
          <w:ilvl w:val="0"/>
          <w:numId w:val="32"/>
        </w:numPr>
        <w:suppressAutoHyphens/>
        <w:spacing w:before="120" w:after="240" w:line="276" w:lineRule="auto"/>
        <w:ind w:left="714" w:right="-285" w:hanging="357"/>
      </w:pPr>
      <w:r>
        <w:t>Del núcleo magnético: características magnéticas y aislamiento.</w:t>
      </w:r>
    </w:p>
    <w:p w:rsidR="00C7085E" w:rsidRDefault="00C7085E" w:rsidP="00B71B1A">
      <w:pPr>
        <w:widowControl/>
        <w:numPr>
          <w:ilvl w:val="0"/>
          <w:numId w:val="32"/>
        </w:numPr>
        <w:suppressAutoHyphens/>
        <w:spacing w:before="120" w:after="240" w:line="276" w:lineRule="auto"/>
        <w:ind w:left="714" w:right="-285" w:hanging="357"/>
      </w:pPr>
      <w:r>
        <w:t>Del inducido: aislamiento del cobre.</w:t>
      </w:r>
    </w:p>
    <w:p w:rsidR="00C7085E" w:rsidRDefault="00C7085E" w:rsidP="00B71B1A">
      <w:pPr>
        <w:widowControl/>
        <w:numPr>
          <w:ilvl w:val="0"/>
          <w:numId w:val="32"/>
        </w:numPr>
        <w:suppressAutoHyphens/>
        <w:spacing w:before="120" w:after="240" w:line="276" w:lineRule="auto"/>
        <w:ind w:left="714" w:right="-285" w:hanging="357"/>
      </w:pPr>
      <w:r>
        <w:t>Del rotor: características magnéticas.</w:t>
      </w:r>
    </w:p>
    <w:p w:rsidR="00C7085E" w:rsidRDefault="00C7085E" w:rsidP="00B71B1A">
      <w:pPr>
        <w:widowControl/>
        <w:numPr>
          <w:ilvl w:val="0"/>
          <w:numId w:val="32"/>
        </w:numPr>
        <w:suppressAutoHyphens/>
        <w:spacing w:before="120" w:after="240" w:line="276" w:lineRule="auto"/>
        <w:ind w:left="714" w:right="-285" w:hanging="357"/>
      </w:pPr>
      <w:r>
        <w:t>Se realizarán así mismo inspección de la carcasa</w:t>
      </w:r>
    </w:p>
    <w:p w:rsidR="00C7085E" w:rsidRDefault="00C7085E" w:rsidP="00B71B1A">
      <w:pPr>
        <w:widowControl/>
        <w:numPr>
          <w:ilvl w:val="0"/>
          <w:numId w:val="32"/>
        </w:numPr>
        <w:suppressAutoHyphens/>
        <w:spacing w:before="120" w:after="240" w:line="276" w:lineRule="auto"/>
        <w:ind w:left="714" w:right="-285" w:hanging="357"/>
      </w:pPr>
      <w:r>
        <w:t>Carcasa: Control dimensional y Certificado.</w:t>
      </w:r>
    </w:p>
    <w:p w:rsidR="00C7085E" w:rsidRDefault="00C7085E" w:rsidP="00B71B1A">
      <w:pPr>
        <w:widowControl/>
        <w:numPr>
          <w:ilvl w:val="0"/>
          <w:numId w:val="32"/>
        </w:numPr>
        <w:suppressAutoHyphens/>
        <w:spacing w:before="120" w:after="240" w:line="276" w:lineRule="auto"/>
        <w:ind w:left="714" w:right="-285" w:hanging="357"/>
      </w:pPr>
      <w:r>
        <w:t>Eje: Control dimensional y Certificado.</w:t>
      </w:r>
    </w:p>
    <w:p w:rsidR="00C7085E" w:rsidRDefault="00C7085E" w:rsidP="00B71B1A">
      <w:pPr>
        <w:widowControl/>
        <w:numPr>
          <w:ilvl w:val="0"/>
          <w:numId w:val="32"/>
        </w:numPr>
        <w:suppressAutoHyphens/>
        <w:spacing w:before="120" w:after="240" w:line="276" w:lineRule="auto"/>
        <w:ind w:left="714" w:right="-285" w:hanging="357"/>
      </w:pPr>
      <w:r>
        <w:t>Portascobilla: Control dimensional.</w:t>
      </w:r>
    </w:p>
    <w:p w:rsidR="00C7085E" w:rsidRDefault="00C7085E" w:rsidP="00B71B1A">
      <w:pPr>
        <w:widowControl/>
        <w:numPr>
          <w:ilvl w:val="0"/>
          <w:numId w:val="32"/>
        </w:numPr>
        <w:suppressAutoHyphens/>
        <w:spacing w:before="120" w:after="240" w:line="276" w:lineRule="auto"/>
        <w:ind w:left="714" w:right="-285" w:hanging="357"/>
      </w:pPr>
      <w:r>
        <w:t>Inspección de los siguientes elementos auxiliares: Cojinetes, engrase, caja de bornas, puesta a tierra, placa de características, ventilador y tapa, así como de la pintura de protección.</w:t>
      </w:r>
    </w:p>
    <w:p w:rsidR="00C7085E" w:rsidRDefault="00C7085E" w:rsidP="00B71B1A">
      <w:pPr>
        <w:spacing w:before="120" w:after="240" w:line="276" w:lineRule="auto"/>
        <w:ind w:right="-285"/>
      </w:pPr>
      <w:r>
        <w:t xml:space="preserve">De todos estos controles se entregará un programa de puntos de inspección </w:t>
      </w:r>
      <w:r>
        <w:lastRenderedPageBreak/>
        <w:t>debidamente cumplimentado.</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keepNext/>
        <w:spacing w:before="120" w:after="240" w:line="276" w:lineRule="auto"/>
        <w:ind w:right="-285"/>
      </w:pPr>
      <w:bookmarkStart w:id="814" w:name="_Toc392586280"/>
      <w:bookmarkStart w:id="815" w:name="_Toc142385210"/>
      <w:bookmarkStart w:id="816" w:name="_Toc346033632"/>
      <w:r>
        <w:t xml:space="preserve">Los motores se abonarán de acuerdo las unidades que figuren en el Cuadro de Precios vigente </w:t>
      </w:r>
      <w:bookmarkStart w:id="817" w:name="_Toc414022111"/>
      <w:bookmarkStart w:id="818" w:name="_Toc394041986"/>
      <w:r>
        <w:t>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19" w:name="_Toc448741508"/>
      <w:r>
        <w:t>Instalación de tierras de utilización</w:t>
      </w:r>
      <w:bookmarkEnd w:id="817"/>
      <w:bookmarkEnd w:id="818"/>
      <w:bookmarkEnd w:id="819"/>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keepNext/>
        <w:keepLines/>
        <w:spacing w:before="120" w:after="240" w:line="276" w:lineRule="auto"/>
        <w:ind w:right="-285"/>
      </w:pPr>
      <w:r>
        <w:t>La tierra de utilización cumplirá con las especificaciones dictadas en el Reglamento Electrotécnico de Baja Tensión, y se ejecutará de forma independiente a la tierra de protección del centro de transformación.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La tierra de utilización estará formada por cables de cobre desnudo de cincuenta milímetros cuadrados (50 mm²) unidos en diversos puntos a picas de acero cobrizado de dos (2) metros de longitud y catorce milímetros (14 mm) de diámetro, ubicadas en pozos dispuestos para este fin, ejecutándose éstos preferentemente en las proximidades de cada armario o receptor importante.</w:t>
      </w:r>
    </w:p>
    <w:p w:rsidR="00C7085E" w:rsidRDefault="00C7085E" w:rsidP="00B71B1A">
      <w:pPr>
        <w:spacing w:before="120" w:after="240" w:line="276" w:lineRule="auto"/>
        <w:ind w:right="-285"/>
      </w:pPr>
      <w:r>
        <w:t>Todas las masas de los elementos que componen la instalación estarán conectadas a la red general con cables de cobre de 35 y 50 mm</w:t>
      </w:r>
      <w:r>
        <w:rPr>
          <w:vertAlign w:val="superscript"/>
        </w:rPr>
        <w:t>2</w:t>
      </w:r>
      <w:r>
        <w:t>, mientras que los báculos y columnas de alumbrado se conexionarán con cable de 16 mm</w:t>
      </w:r>
      <w:r>
        <w:rPr>
          <w:vertAlign w:val="superscript"/>
        </w:rPr>
        <w:t>2</w:t>
      </w:r>
      <w:r>
        <w:t>.</w:t>
      </w:r>
    </w:p>
    <w:p w:rsidR="00C7085E" w:rsidRDefault="00C7085E" w:rsidP="00B71B1A">
      <w:pPr>
        <w:spacing w:before="120" w:after="240" w:line="276" w:lineRule="auto"/>
        <w:ind w:right="-285"/>
      </w:pPr>
      <w:r>
        <w:t>Se dejará preparada para poder conectarla en el futuro, si se considera conveniente y concurren las circunstancias precisas, a la puesta a tierra de masas del centro de transformación.</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Las verificaciones previas a la puesta en servicio de las instalaciones deberán ser de acuerdo a la legislación vigente; ensayos instalaciones de puesta a tierra: medida de resistencia de puesta a tierra.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Las tomas de tierra se abonarán por unidad (ud) y se abonarán, en función de sus características, por aplicación de precio que corresponda de los que figuren en el Cuadro de Precios vigente de Canal de Isabel II Gestión.</w:t>
      </w:r>
    </w:p>
    <w:p w:rsidR="00C7085E" w:rsidRPr="00894B2B" w:rsidRDefault="00C7085E" w:rsidP="00B71B1A">
      <w:pPr>
        <w:pStyle w:val="Ttulo2"/>
        <w:numPr>
          <w:ilvl w:val="1"/>
          <w:numId w:val="5"/>
        </w:numPr>
        <w:snapToGrid/>
        <w:spacing w:before="400" w:after="400" w:line="276" w:lineRule="auto"/>
        <w:ind w:left="0" w:right="-285"/>
        <w:rPr>
          <w:caps w:val="0"/>
        </w:rPr>
      </w:pPr>
      <w:bookmarkStart w:id="820" w:name="_Toc414022112"/>
      <w:bookmarkStart w:id="821" w:name="_Toc448741509"/>
      <w:r w:rsidRPr="00894B2B">
        <w:rPr>
          <w:caps w:val="0"/>
        </w:rPr>
        <w:lastRenderedPageBreak/>
        <w:t>ALUMBRADO</w:t>
      </w:r>
      <w:bookmarkEnd w:id="814"/>
      <w:bookmarkEnd w:id="820"/>
      <w:bookmarkEnd w:id="821"/>
      <w:r w:rsidRPr="00894B2B">
        <w:rPr>
          <w:caps w:val="0"/>
        </w:rPr>
        <w:t xml:space="preserve"> </w:t>
      </w:r>
    </w:p>
    <w:p w:rsidR="00C7085E" w:rsidRDefault="00C7085E" w:rsidP="00B71B1A">
      <w:pPr>
        <w:pStyle w:val="Ttulo3"/>
        <w:widowControl/>
        <w:numPr>
          <w:ilvl w:val="2"/>
          <w:numId w:val="5"/>
        </w:numPr>
        <w:tabs>
          <w:tab w:val="left" w:pos="567"/>
        </w:tabs>
        <w:suppressAutoHyphens/>
        <w:snapToGrid w:val="0"/>
        <w:spacing w:before="120" w:after="240" w:line="276" w:lineRule="auto"/>
        <w:ind w:left="1701" w:right="-285" w:hanging="1701"/>
      </w:pPr>
      <w:bookmarkStart w:id="822" w:name="_Toc414022113"/>
      <w:bookmarkStart w:id="823" w:name="_Toc392586281"/>
      <w:bookmarkStart w:id="824" w:name="_Toc448741510"/>
      <w:r>
        <w:t>Alumbrado exterior</w:t>
      </w:r>
      <w:bookmarkEnd w:id="815"/>
      <w:bookmarkEnd w:id="816"/>
      <w:bookmarkEnd w:id="822"/>
      <w:bookmarkEnd w:id="823"/>
      <w:bookmarkEnd w:id="824"/>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keepNext/>
        <w:spacing w:before="120" w:after="240" w:line="276" w:lineRule="auto"/>
        <w:ind w:right="-285"/>
      </w:pPr>
      <w:r>
        <w:t>Salvo indicación contraria se establece el siguiente nivel mínimo de iluminación:</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Viales</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Iluminación media veinte (20) lux</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Uniformidad media cuarenta por ciento (40%)</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Zonas de equipos</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Iluminación media setenta y cinco (75) lux en escaleras</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Iluminación media cincuenta (50) lux en resto de zonas</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Uniformidad media cincuenta por ciento (50%)</w:t>
      </w:r>
    </w:p>
    <w:p w:rsidR="00C7085E" w:rsidRDefault="00C7085E" w:rsidP="00B71B1A">
      <w:pPr>
        <w:spacing w:before="120" w:after="240" w:line="276" w:lineRule="auto"/>
        <w:ind w:right="-285"/>
      </w:pPr>
      <w:r>
        <w:t>Se cumplirá con lo exigido en el reglamento de eficiencia energética en instalaciones de alumbrado exterior, aprobado por RD 1890/2008 de fecha 14 de noviembre.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El cuadro será de tipo prefabricado de primera calidad a base de acero laminado y con puerta que pueda montarse a ambas manos.</w:t>
      </w:r>
    </w:p>
    <w:p w:rsidR="00C7085E" w:rsidRDefault="00C7085E" w:rsidP="00B71B1A">
      <w:pPr>
        <w:spacing w:before="120" w:after="240" w:line="276" w:lineRule="auto"/>
        <w:ind w:right="-285"/>
        <w:rPr>
          <w:rFonts w:cs="Arial"/>
        </w:rPr>
      </w:pPr>
      <w:r>
        <w:rPr>
          <w:rFonts w:cs="Arial"/>
        </w:rPr>
        <w:t>En su interior alojará, como mínimo: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Un (1) interruptor automático magnetotérmico IV con relé diferencial temporizado, modularmente independiente, de treinta miliamperios (0,03 A) de sensibilidad con su bobina toroidal correspondiente.</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Un (1) interruptor automático magnetotérmico II con relé diferencial de 300 mA. por cada circuito.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Un (1) contactor por cada circuito.</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Dispositivo de célula fotoeléctrica.</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Un (1) reloj astronómico con contactor de encendido y apagado regulables.</w:t>
      </w:r>
    </w:p>
    <w:p w:rsidR="00C7085E" w:rsidRDefault="00C7085E" w:rsidP="00B71B1A">
      <w:pPr>
        <w:spacing w:before="120" w:after="240" w:line="276" w:lineRule="auto"/>
        <w:ind w:right="-285"/>
        <w:rPr>
          <w:rFonts w:cs="Arial"/>
        </w:rPr>
      </w:pPr>
      <w:r>
        <w:rPr>
          <w:rFonts w:cs="Arial"/>
        </w:rPr>
        <w:t>El mando podrá realizarse de una de las formas siguientes: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Encendido y apagado manual.</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Encendido y apagado por célula fotoeléctrica.</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Encendido y apagado por reloj astronómico.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Encendido de todos los circuitos por célula fotoeléctrica y apagado de la mitad por reloj astronómico. Dentro de esta disposición con dos (2) modalidades, para que pueda seleccionarse el apagado por reloj del circuito que se desee.</w:t>
      </w:r>
    </w:p>
    <w:p w:rsidR="00C7085E" w:rsidRDefault="00C7085E" w:rsidP="00B71B1A">
      <w:pPr>
        <w:spacing w:before="120" w:after="240" w:line="276" w:lineRule="auto"/>
        <w:ind w:right="-285"/>
      </w:pPr>
      <w:r>
        <w:t>El factor de potencia será corregido independientemente en cada punto de alumbrado.</w:t>
      </w:r>
    </w:p>
    <w:p w:rsidR="00C7085E" w:rsidRDefault="00C7085E" w:rsidP="00B71B1A">
      <w:pPr>
        <w:spacing w:before="120" w:after="240" w:line="276" w:lineRule="auto"/>
        <w:ind w:right="-285"/>
      </w:pPr>
      <w:r>
        <w:t>El circuito de maniobra será a tensión de veinticuatro voltios (24 V) corriente alterna.</w:t>
      </w:r>
    </w:p>
    <w:p w:rsidR="00C7085E" w:rsidRDefault="00C7085E" w:rsidP="00B71B1A">
      <w:pPr>
        <w:spacing w:before="120" w:after="240" w:line="276" w:lineRule="auto"/>
        <w:ind w:right="-285"/>
      </w:pPr>
      <w:r>
        <w:lastRenderedPageBreak/>
        <w:t>Toda la aparamenta, regleteros, cableados, etc., se marcará de forma permanente de acuerdo con los esquemas.</w:t>
      </w:r>
    </w:p>
    <w:p w:rsidR="00C7085E" w:rsidRDefault="00C7085E" w:rsidP="00B71B1A">
      <w:pPr>
        <w:spacing w:before="120" w:after="240" w:line="276" w:lineRule="auto"/>
        <w:ind w:right="-285"/>
      </w:pPr>
      <w:r>
        <w:t>Cada punto de luz estará formado por un (1) báculo o columna de altura mínima de nueve metros (9 m), sobre el cual se montará una (1) luminaria dotada de lámpara de vapor de sodio alta presión.</w:t>
      </w:r>
    </w:p>
    <w:p w:rsidR="00C7085E" w:rsidRDefault="00C7085E" w:rsidP="00B71B1A">
      <w:pPr>
        <w:spacing w:before="120" w:after="240" w:line="276" w:lineRule="auto"/>
        <w:ind w:right="-285"/>
      </w:pPr>
      <w:r>
        <w:t>El equipo de encendido se montará sobre la columna o báculo en lugar fácilmente accesible y protegido contra los agentes atmosféricos.</w:t>
      </w:r>
    </w:p>
    <w:p w:rsidR="00C7085E" w:rsidRDefault="00C7085E" w:rsidP="00B71B1A">
      <w:pPr>
        <w:spacing w:before="120" w:after="240" w:line="276" w:lineRule="auto"/>
        <w:ind w:right="-285"/>
      </w:pPr>
      <w:r>
        <w:t>Cada báculo o columna, se conectará a la red general de tierras o se le dotará de pica independiente, según los casos.</w:t>
      </w:r>
    </w:p>
    <w:p w:rsidR="00C7085E" w:rsidRDefault="00C7085E" w:rsidP="00B71B1A">
      <w:pPr>
        <w:spacing w:before="120" w:after="240" w:line="276" w:lineRule="auto"/>
        <w:ind w:right="-285"/>
      </w:pPr>
      <w:r>
        <w:t>El número mínimo de circuitos será de dos (2) con el fin de tener alumbrado de "noche" y "media noche", procurando, siempre que sea posible, hacer circuitos cerrados en forma de anillo.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25" w:name="_Toc448741511"/>
      <w:r>
        <w:t>Alumbrado antideflagrante</w:t>
      </w:r>
      <w:bookmarkEnd w:id="825"/>
    </w:p>
    <w:p w:rsidR="00C7085E" w:rsidRDefault="00C7085E" w:rsidP="00B71B1A">
      <w:pPr>
        <w:keepNext/>
        <w:keepLines/>
        <w:spacing w:before="120" w:after="240" w:line="276" w:lineRule="auto"/>
        <w:ind w:right="-285"/>
      </w:pPr>
      <w:r>
        <w:t xml:space="preserve">En las zonas donde pueden producirse atmósferas explosivas, la instalación se realizará de acuerdo con la Instrucción Técnica Complementaria ITC-BT-29 del Reglamento Electrotécnico para Baja Tensión aprobado por Real Decreto 842/2002. </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Se comprobara que su funcionamiento se corresponde con lo especificado en el proyecto.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bookmarkStart w:id="826" w:name="_Toc392586282"/>
      <w:bookmarkStart w:id="827" w:name="_Toc346033633"/>
      <w:bookmarkStart w:id="828" w:name="_Toc142385211"/>
      <w:r>
        <w:t>Los báculos, columnas o balizas se medirán por unidad (ud) y se abonarán, en función del tipo, mediante la aplicación del precio correspondiente de los que figuran en el Cuadro de Precios vigente de Canal de Isabel II Gestión.</w:t>
      </w:r>
    </w:p>
    <w:p w:rsidR="00C7085E" w:rsidRDefault="00C7085E" w:rsidP="00B71B1A">
      <w:pPr>
        <w:spacing w:before="120" w:after="240" w:line="276" w:lineRule="auto"/>
        <w:ind w:right="-285"/>
      </w:pPr>
      <w:r>
        <w:t>Las luminarias para alumbrado viario se medirán por unidad (ud) y se abonarán, en función del tipo, mediante la aplicación del precio correspondiente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29" w:name="_Toc414022114"/>
      <w:bookmarkStart w:id="830" w:name="_Toc448741512"/>
      <w:r>
        <w:t>Alumbrado de edificios</w:t>
      </w:r>
      <w:bookmarkEnd w:id="826"/>
      <w:bookmarkEnd w:id="827"/>
      <w:bookmarkEnd w:id="828"/>
      <w:bookmarkEnd w:id="829"/>
      <w:bookmarkEnd w:id="830"/>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 xml:space="preserve">Características </w:t>
      </w:r>
    </w:p>
    <w:p w:rsidR="00C7085E" w:rsidRDefault="00C7085E" w:rsidP="00B71B1A">
      <w:pPr>
        <w:keepNext/>
        <w:keepLines/>
        <w:spacing w:before="120" w:after="240" w:line="276" w:lineRule="auto"/>
        <w:ind w:right="-285"/>
      </w:pPr>
      <w:r>
        <w:t>Se utilizarán, en espacios interiores industriales lámparas estancas de halogenuros metálicos de luz blanca. Todas las luminarias y proyectores, así como los equipos auxiliares, estarán dotados de grado de protección adecuado para garantizar la estanquidad contra la entrada de polvo y agua.</w:t>
      </w:r>
    </w:p>
    <w:p w:rsidR="00C7085E" w:rsidRDefault="00C7085E" w:rsidP="00B71B1A">
      <w:pPr>
        <w:spacing w:before="120" w:after="240" w:line="276" w:lineRule="auto"/>
        <w:ind w:right="-285"/>
      </w:pPr>
      <w:r>
        <w:t>Salvo indicación contraria se establece el siguiente nivel mínimo de iluminación:</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lastRenderedPageBreak/>
        <w:t>Cuando sea necesaria una distinción pequeña de detalle (vestuarios, aseos, trasteros, etc.): 100 lux.</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Cuando sea necesaria una distinción media de detalle (zona de trabajo): 300 lux. - Zonas de paso: 20 lux.</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Ejecución</w:t>
      </w:r>
    </w:p>
    <w:p w:rsidR="00C7085E" w:rsidRDefault="00C7085E" w:rsidP="00B71B1A">
      <w:pPr>
        <w:spacing w:before="120" w:after="240" w:line="276" w:lineRule="auto"/>
        <w:ind w:right="-285"/>
      </w:pPr>
      <w:r>
        <w:t>En cada edificio se montará un cuadro prefabricado de primera calidad, a base de acero laminado y con puerta que pueda montarse a ambas manos.</w:t>
      </w:r>
    </w:p>
    <w:p w:rsidR="00C7085E" w:rsidRDefault="00C7085E" w:rsidP="00B71B1A">
      <w:pPr>
        <w:spacing w:before="120" w:after="240" w:line="276" w:lineRule="auto"/>
        <w:ind w:right="-285"/>
      </w:pPr>
      <w:r>
        <w:t>Como mínimo alojará:</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Dos (2) interruptores automáticos diferenciales de sensibilidad treinta miliamperios (0,03 A.), uno (1) para circuito de fuerza y uno (1) para circuitos de alumbrado.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Tantos interruptores automáticos magnetotérmicos como circuitos de fuerza y alumbrado sean necesarios en el edificio.</w:t>
      </w:r>
    </w:p>
    <w:p w:rsidR="00C7085E" w:rsidRDefault="00C7085E" w:rsidP="00B71B1A">
      <w:pPr>
        <w:spacing w:before="120" w:after="240" w:line="276" w:lineRule="auto"/>
        <w:ind w:right="-285"/>
      </w:pPr>
      <w:r>
        <w:t>El factor de potencia será corregido independientemente en cada punto de alumbrado.</w:t>
      </w:r>
    </w:p>
    <w:p w:rsidR="00C7085E" w:rsidRDefault="00C7085E" w:rsidP="00B71B1A">
      <w:pPr>
        <w:spacing w:before="120" w:after="240" w:line="276" w:lineRule="auto"/>
        <w:ind w:right="-285"/>
      </w:pPr>
      <w:r>
        <w:t>El tipo de instalación será acorde en cada edificio, dejándose metidas guías en los tubos durante el montaje para el posterior paso de cables.</w:t>
      </w:r>
    </w:p>
    <w:p w:rsidR="00C7085E" w:rsidRDefault="00C7085E" w:rsidP="00B71B1A">
      <w:pPr>
        <w:spacing w:before="120" w:after="240" w:line="276" w:lineRule="auto"/>
        <w:ind w:right="-285"/>
      </w:pPr>
      <w:r>
        <w:t>Existirán dispositivos de alumbrado de emergencia en todos los edificios, disponiéndose de medios de iluminación de emergencia adecuados a las dimensiones de los locales y número de trabajadores ocupados simultáneamente, capaces de mantener, al menos durante una hora, un nivel de iluminación de cinco (5) lux a nivel de suelo Su fuente de energía será independiente del sistema normal de iluminación.</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Edificio de control</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Nivel mínimo de iluminación 600 lux.</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La instalación será empotrada, bajo tubo corrugado y cajas de PVC.</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El cable a emplear cumplirá la designación RV 0,6/1 KV. de las normas UNE.</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Edificios industriales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Nivel mínimo de iluminación 200 lux a nivel de suelo, y además se discriminarán diferentes  zonas dentro del edificio, atendiendo a las exigencias de iluminación:</w:t>
      </w:r>
    </w:p>
    <w:p w:rsidR="00C7085E" w:rsidRDefault="00C7085E" w:rsidP="00B71B1A">
      <w:pPr>
        <w:pStyle w:val="Prrafodelista"/>
        <w:numPr>
          <w:ilvl w:val="2"/>
          <w:numId w:val="13"/>
        </w:numPr>
        <w:autoSpaceDE w:val="0"/>
        <w:autoSpaceDN w:val="0"/>
        <w:adjustRightInd w:val="0"/>
        <w:spacing w:before="120" w:after="240"/>
        <w:ind w:right="-285"/>
        <w:rPr>
          <w:rFonts w:ascii="Arial" w:hAnsi="Arial" w:cs="Arial"/>
        </w:rPr>
      </w:pPr>
      <w:r>
        <w:rPr>
          <w:rFonts w:ascii="Arial" w:hAnsi="Arial" w:cs="Arial"/>
        </w:rPr>
        <w:t>Zonas de operación y mantenimiento de equipos 300 lux.</w:t>
      </w:r>
    </w:p>
    <w:p w:rsidR="00C7085E" w:rsidRDefault="00C7085E" w:rsidP="00B71B1A">
      <w:pPr>
        <w:pStyle w:val="Prrafodelista"/>
        <w:numPr>
          <w:ilvl w:val="2"/>
          <w:numId w:val="13"/>
        </w:numPr>
        <w:autoSpaceDE w:val="0"/>
        <w:autoSpaceDN w:val="0"/>
        <w:adjustRightInd w:val="0"/>
        <w:spacing w:before="120" w:after="240"/>
        <w:ind w:right="-285"/>
        <w:rPr>
          <w:rFonts w:ascii="Arial" w:hAnsi="Arial" w:cs="Arial"/>
        </w:rPr>
      </w:pPr>
      <w:r>
        <w:rPr>
          <w:rFonts w:ascii="Arial" w:hAnsi="Arial" w:cs="Arial"/>
        </w:rPr>
        <w:t>Salas destinadas al servicio eléctrico 500 lux.</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La instalación será al aire bajo tubo y cajas de PVC rígido.</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El cable a utilizar cumplirá la designación RV 0,6/1 KV. de las normas UNE.</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Edificios con posibilidad de presencia de gases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El cuadro se montará en una zona del edificio en la que no pueda haber presencia de gases.</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t xml:space="preserve">Será de tipo antideflagrante y cumplirá la Instrucción Técnica Complementaria ITC-BT-29 del Reglamento Electrotécnico para Baja Tensión aprobado por Real Decreto 842/2002. </w:t>
      </w:r>
    </w:p>
    <w:p w:rsidR="00C7085E" w:rsidRDefault="00C7085E" w:rsidP="00B71B1A">
      <w:pPr>
        <w:pStyle w:val="Prrafodelista"/>
        <w:numPr>
          <w:ilvl w:val="1"/>
          <w:numId w:val="13"/>
        </w:numPr>
        <w:autoSpaceDE w:val="0"/>
        <w:autoSpaceDN w:val="0"/>
        <w:adjustRightInd w:val="0"/>
        <w:spacing w:before="120" w:after="240"/>
        <w:ind w:left="1094" w:right="-285" w:hanging="357"/>
        <w:rPr>
          <w:rFonts w:ascii="Arial" w:hAnsi="Arial" w:cs="Arial"/>
        </w:rPr>
      </w:pPr>
      <w:r>
        <w:rPr>
          <w:rFonts w:ascii="Arial" w:hAnsi="Arial" w:cs="Arial"/>
        </w:rPr>
        <w:lastRenderedPageBreak/>
        <w:t>El cable a utilizar responderá a la designación RV 0,6/1 KV. de las normas UNE.</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rPr>
          <w:rFonts w:ascii="Arial Negrita" w:hAnsi="Arial Negrita" w:cs="Arial Negrita"/>
        </w:rPr>
      </w:pPr>
      <w:r>
        <w:t>Control de calidad</w:t>
      </w:r>
    </w:p>
    <w:p w:rsidR="00C7085E" w:rsidRDefault="00C7085E" w:rsidP="00B71B1A">
      <w:pPr>
        <w:spacing w:before="120" w:after="240" w:line="276" w:lineRule="auto"/>
        <w:ind w:right="-285"/>
      </w:pPr>
      <w:r>
        <w:t>Se comprobara que su funcionamiento se corresponde con lo especificado en el proyecto.</w:t>
      </w:r>
    </w:p>
    <w:p w:rsidR="00C7085E" w:rsidRDefault="00C7085E" w:rsidP="00B71B1A">
      <w:pPr>
        <w:pStyle w:val="Ttulo4"/>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keepNext/>
        <w:spacing w:before="120" w:after="240" w:line="276" w:lineRule="auto"/>
        <w:ind w:right="-285"/>
      </w:pPr>
      <w:r>
        <w:t>Las luminarias y proyectores se medirán por unidad (ud) y se abonarán, en función del tipo, mediante la aplicación del precio correspondiente de los que figuran en el Cuadro de Precios vigente de Canal de Isabel II Gestión.</w:t>
      </w:r>
    </w:p>
    <w:p w:rsidR="00C7085E" w:rsidRPr="00EF3DE9" w:rsidRDefault="00C7085E" w:rsidP="00B71B1A">
      <w:pPr>
        <w:pStyle w:val="Ttulo1"/>
        <w:pageBreakBefore/>
        <w:suppressAutoHyphens/>
        <w:spacing w:before="0" w:after="240" w:line="276" w:lineRule="auto"/>
        <w:ind w:left="1985" w:right="-285" w:hanging="1985"/>
        <w:jc w:val="both"/>
        <w:rPr>
          <w:szCs w:val="20"/>
        </w:rPr>
      </w:pPr>
      <w:bookmarkStart w:id="831" w:name="_Toc448741513"/>
      <w:r w:rsidRPr="00EF3DE9">
        <w:rPr>
          <w:szCs w:val="20"/>
        </w:rPr>
        <w:lastRenderedPageBreak/>
        <w:t>INSTRUMENTACIÓN, CONTROL Y AUTOMATIZACIÓN</w:t>
      </w:r>
      <w:bookmarkEnd w:id="831"/>
    </w:p>
    <w:p w:rsidR="00894B2B" w:rsidRPr="00A9273B" w:rsidRDefault="00894B2B" w:rsidP="00B71B1A">
      <w:pPr>
        <w:pStyle w:val="Prrafodelista"/>
        <w:keepNext/>
        <w:numPr>
          <w:ilvl w:val="0"/>
          <w:numId w:val="5"/>
        </w:numPr>
        <w:tabs>
          <w:tab w:val="left" w:pos="2268"/>
        </w:tabs>
        <w:snapToGrid/>
        <w:spacing w:after="0"/>
        <w:ind w:left="2058" w:right="-285" w:hanging="357"/>
        <w:contextualSpacing w:val="0"/>
        <w:outlineLvl w:val="1"/>
        <w:rPr>
          <w:rFonts w:ascii="Arial" w:eastAsia="Times New Roman" w:hAnsi="Arial" w:cs="Times New Roman"/>
          <w:b/>
          <w:vanish/>
          <w:sz w:val="2"/>
          <w:szCs w:val="2"/>
          <w:lang w:eastAsia="es-ES"/>
        </w:rPr>
      </w:pPr>
    </w:p>
    <w:p w:rsidR="00C7085E" w:rsidRPr="006D2B54" w:rsidRDefault="006D2B54" w:rsidP="00B71B1A">
      <w:pPr>
        <w:pStyle w:val="Ttulo2"/>
        <w:numPr>
          <w:ilvl w:val="1"/>
          <w:numId w:val="5"/>
        </w:numPr>
        <w:snapToGrid/>
        <w:spacing w:before="400" w:after="400" w:line="276" w:lineRule="auto"/>
        <w:ind w:left="0" w:right="-285"/>
        <w:rPr>
          <w:b w:val="0"/>
        </w:rPr>
      </w:pPr>
      <w:bookmarkStart w:id="832" w:name="_Toc448741514"/>
      <w:r w:rsidRPr="006D2B54">
        <w:rPr>
          <w:caps w:val="0"/>
        </w:rPr>
        <w:t>ESPECIFICACIONES GENERALES</w:t>
      </w:r>
      <w:bookmarkEnd w:id="832"/>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33" w:name="_Toc448741515"/>
      <w:r>
        <w:t>Forma de abono de las instalaciones y equipos</w:t>
      </w:r>
      <w:bookmarkEnd w:id="833"/>
    </w:p>
    <w:p w:rsidR="00C7085E" w:rsidRDefault="00C7085E" w:rsidP="00B71B1A">
      <w:pPr>
        <w:spacing w:before="120" w:after="240" w:line="276" w:lineRule="auto"/>
        <w:ind w:right="-285"/>
      </w:pPr>
      <w:r>
        <w:t>Los equipos industriales, las máquinas o elementos, las instalaciones que constituyendo una unidad en sí formen parte de la instalación general, se medirán y abonarán por unidad (ud), según el precio que corresponda de los que figuren en el Cuadro de Precios vigente de Canal de Isabel II Gestión. Estos precios se refieren siempre a la unidad colocada, probada y en perfectas condiciones de funcionamiento.</w:t>
      </w:r>
    </w:p>
    <w:p w:rsidR="00C7085E" w:rsidRDefault="00C7085E" w:rsidP="00B71B1A">
      <w:pPr>
        <w:spacing w:before="120" w:after="240" w:line="276" w:lineRule="auto"/>
        <w:ind w:right="-285"/>
      </w:pPr>
      <w:r>
        <w:t>La medición de la obra ejecutada en esta clase de unidades de obra en un momento dado, será la suma de las partidas siguientes:</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a)</w:t>
      </w:r>
      <w:r>
        <w:rPr>
          <w:rFonts w:cs="Arial"/>
          <w:spacing w:val="-3"/>
          <w:szCs w:val="22"/>
        </w:rPr>
        <w:tab/>
        <w:t xml:space="preserve">El 65% del total de la unidad cuya fabricación se hace en talleres, cuando la Dirección de Obra haya recibido la siguiente documentación: </w:t>
      </w:r>
      <w:r>
        <w:rPr>
          <w:rFonts w:cs="Arial"/>
        </w:rPr>
        <w:t>Nota de aceptación del control de calidad</w:t>
      </w:r>
      <w:r>
        <w:rPr>
          <w:rFonts w:cs="Arial"/>
          <w:spacing w:val="-3"/>
          <w:szCs w:val="22"/>
        </w:rPr>
        <w:t>, c</w:t>
      </w:r>
      <w:r>
        <w:rPr>
          <w:rFonts w:cs="Arial"/>
        </w:rPr>
        <w:t xml:space="preserve">ertificados de materiales y pruebas correspondientes a los casos establecidos y que </w:t>
      </w:r>
      <w:r>
        <w:rPr>
          <w:rFonts w:cs="Arial"/>
          <w:spacing w:val="-3"/>
          <w:szCs w:val="22"/>
        </w:rPr>
        <w:t>se haya recibido la unidad de que se trate en los almacenes de la obra.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b)</w:t>
      </w:r>
      <w:r>
        <w:rPr>
          <w:rFonts w:cs="Arial"/>
          <w:spacing w:val="-3"/>
          <w:szCs w:val="22"/>
        </w:rPr>
        <w:tab/>
        <w:t>El 10% de la unidad una vez instalada en obra.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c)</w:t>
      </w:r>
      <w:r>
        <w:rPr>
          <w:rFonts w:cs="Arial"/>
          <w:spacing w:val="-3"/>
          <w:szCs w:val="22"/>
        </w:rPr>
        <w:tab/>
        <w:t>El 15% del total de la unidad cuando haya sido probada en obra.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d)</w:t>
      </w:r>
      <w:r>
        <w:rPr>
          <w:rFonts w:cs="Arial"/>
          <w:spacing w:val="-3"/>
          <w:szCs w:val="22"/>
        </w:rPr>
        <w:tab/>
        <w:t>El 10% restante cuando se realice la Recepción de las obras.</w:t>
      </w:r>
    </w:p>
    <w:p w:rsidR="00C7085E" w:rsidRDefault="00C7085E" w:rsidP="00B71B1A">
      <w:pPr>
        <w:spacing w:before="120" w:after="240" w:line="276" w:lineRule="auto"/>
        <w:ind w:right="-285"/>
      </w:pPr>
      <w:r>
        <w:t>Para las unidades cuya fabricación o construcción se realiza en obra, los sumandos serán los siguientes:</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a)</w:t>
      </w:r>
      <w:r>
        <w:rPr>
          <w:rFonts w:cs="Arial"/>
          <w:spacing w:val="-3"/>
          <w:szCs w:val="22"/>
        </w:rPr>
        <w:tab/>
        <w:t>El 75% del total de la unidad cuando esté totalmente instalada.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b)</w:t>
      </w:r>
      <w:r>
        <w:rPr>
          <w:rFonts w:cs="Arial"/>
          <w:spacing w:val="-3"/>
          <w:szCs w:val="22"/>
        </w:rPr>
        <w:tab/>
        <w:t>El 15% del total de la unidad cuando haya sido probada.</w:t>
      </w:r>
    </w:p>
    <w:p w:rsidR="00C7085E" w:rsidRDefault="00C7085E" w:rsidP="00B71B1A">
      <w:pPr>
        <w:tabs>
          <w:tab w:val="left" w:pos="0"/>
          <w:tab w:val="left" w:pos="720"/>
          <w:tab w:val="left" w:pos="1728"/>
          <w:tab w:val="left" w:pos="2160"/>
        </w:tabs>
        <w:spacing w:before="120" w:after="240" w:line="276" w:lineRule="auto"/>
        <w:ind w:left="714" w:right="-285" w:hanging="357"/>
        <w:rPr>
          <w:rFonts w:cs="Arial"/>
          <w:spacing w:val="-3"/>
          <w:szCs w:val="22"/>
        </w:rPr>
      </w:pPr>
      <w:r>
        <w:rPr>
          <w:rFonts w:cs="Arial"/>
          <w:spacing w:val="-3"/>
          <w:szCs w:val="22"/>
        </w:rPr>
        <w:t>c)</w:t>
      </w:r>
      <w:r>
        <w:rPr>
          <w:rFonts w:cs="Arial"/>
          <w:spacing w:val="-3"/>
          <w:szCs w:val="22"/>
        </w:rPr>
        <w:tab/>
        <w:t>El 10% restante cuando se realice la Recepción de las obras.</w:t>
      </w:r>
    </w:p>
    <w:p w:rsidR="00C7085E" w:rsidRDefault="00C7085E" w:rsidP="00B71B1A">
      <w:pPr>
        <w:spacing w:before="120" w:after="240" w:line="276" w:lineRule="auto"/>
        <w:ind w:right="-285"/>
      </w:pPr>
      <w:r>
        <w:t>En estos precios unitarios se consideran incluidas las ayudas de albañilería y oficios necesarios para su total acabado y montaje.</w:t>
      </w:r>
    </w:p>
    <w:p w:rsidR="00C7085E" w:rsidRPr="00894B2B" w:rsidRDefault="006D2B54" w:rsidP="00B71B1A">
      <w:pPr>
        <w:pStyle w:val="Ttulo2"/>
        <w:numPr>
          <w:ilvl w:val="1"/>
          <w:numId w:val="5"/>
        </w:numPr>
        <w:snapToGrid/>
        <w:spacing w:before="400" w:after="400" w:line="276" w:lineRule="auto"/>
        <w:ind w:left="0" w:right="-285"/>
        <w:rPr>
          <w:caps w:val="0"/>
        </w:rPr>
      </w:pPr>
      <w:bookmarkStart w:id="834" w:name="_Toc425410775"/>
      <w:bookmarkStart w:id="835" w:name="_Toc448741516"/>
      <w:bookmarkEnd w:id="834"/>
      <w:r w:rsidRPr="006D2B54">
        <w:rPr>
          <w:caps w:val="0"/>
        </w:rPr>
        <w:t>INSTRUMENTACIÓN</w:t>
      </w:r>
      <w:bookmarkEnd w:id="835"/>
      <w:r w:rsidRPr="006D2B54">
        <w:rPr>
          <w:caps w:val="0"/>
        </w:rPr>
        <w:t xml:space="preserve"> </w:t>
      </w:r>
    </w:p>
    <w:p w:rsidR="00C7085E" w:rsidRDefault="00C7085E" w:rsidP="00B71B1A">
      <w:pPr>
        <w:spacing w:before="120" w:after="240" w:line="276" w:lineRule="auto"/>
        <w:ind w:right="-285"/>
      </w:pPr>
      <w:r>
        <w:t xml:space="preserve">Se instalarán los equipos necesarios para garantizar un estricto control de los procesos. </w:t>
      </w:r>
    </w:p>
    <w:p w:rsidR="0032619C" w:rsidRDefault="0032619C" w:rsidP="00B71B1A">
      <w:pPr>
        <w:spacing w:before="120" w:after="240" w:line="276" w:lineRule="auto"/>
        <w:ind w:right="-285"/>
      </w:pPr>
    </w:p>
    <w:p w:rsidR="0032619C" w:rsidRDefault="0032619C"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36" w:name="_Toc414022117"/>
      <w:bookmarkStart w:id="837" w:name="_Toc448741517"/>
      <w:r>
        <w:lastRenderedPageBreak/>
        <w:t>Consideraciones generales</w:t>
      </w:r>
      <w:bookmarkEnd w:id="836"/>
      <w:bookmarkEnd w:id="837"/>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Este artículo es de aplicación a todos los equipos de instrumentación empleados para realizar el control de las instalaciones.</w:t>
      </w:r>
    </w:p>
    <w:p w:rsidR="00C7085E" w:rsidRDefault="00C7085E" w:rsidP="00B71B1A">
      <w:pPr>
        <w:spacing w:before="120" w:after="240" w:line="276" w:lineRule="auto"/>
        <w:ind w:right="-285"/>
      </w:pPr>
      <w:r>
        <w:t>El Adjudicatario deberá facilitar a la Dirección de Obra, las características de los equipos y los certificados que correspondan, para su aprobación por la Dirección de Obra.</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equipos se medirán por unidad (ud) realmente colocada y se abonarán al precio que corresponda, en función de sus características, de los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38" w:name="_Toc414022118"/>
      <w:bookmarkStart w:id="839" w:name="_Toc402443197"/>
      <w:bookmarkStart w:id="840" w:name="_Toc448741518"/>
      <w:r>
        <w:t>Tritubo</w:t>
      </w:r>
      <w:bookmarkEnd w:id="838"/>
      <w:bookmarkEnd w:id="839"/>
      <w:bookmarkEnd w:id="840"/>
    </w:p>
    <w:p w:rsidR="00C7085E" w:rsidRDefault="00C7085E" w:rsidP="00B71B1A">
      <w:pPr>
        <w:spacing w:before="120" w:after="240" w:line="276" w:lineRule="auto"/>
        <w:ind w:right="-285"/>
        <w:rPr>
          <w:spacing w:val="-3"/>
        </w:rPr>
      </w:pPr>
      <w:r>
        <w:rPr>
          <w:spacing w:val="-3"/>
        </w:rPr>
        <w:t>En las conducciones de red que se ejecuten enterradas, y de las cuales se considere necesario obtener información para su automatización y telecontrol se instalará el dispositivo que permita el alojamiento de los cables necesarios para la transmisión de la información.</w:t>
      </w:r>
    </w:p>
    <w:p w:rsidR="00C7085E" w:rsidRDefault="00C7085E" w:rsidP="00B71B1A">
      <w:pPr>
        <w:spacing w:before="120" w:after="240" w:line="276" w:lineRule="auto"/>
        <w:ind w:right="-285"/>
        <w:rPr>
          <w:rFonts w:cs="Arial"/>
          <w:szCs w:val="22"/>
        </w:rPr>
      </w:pPr>
      <w:r>
        <w:rPr>
          <w:rFonts w:cs="Arial"/>
          <w:szCs w:val="22"/>
        </w:rPr>
        <w:t>Los cables, multipares o de fibra óptica, permitirán la transmisión de la información que se genere en la propia conducción y en las instalaciones que se encuentren a lo largo de su traza así como la realización de telemandos y, en los casos convenientes, formarán parte de la Red Troncal del Sistema General de Comunicaciones.</w:t>
      </w:r>
    </w:p>
    <w:p w:rsidR="00534627" w:rsidRDefault="00C7085E" w:rsidP="00B71B1A">
      <w:pPr>
        <w:tabs>
          <w:tab w:val="left" w:pos="0"/>
        </w:tabs>
        <w:spacing w:before="120" w:after="240" w:line="276" w:lineRule="auto"/>
        <w:ind w:right="-285"/>
        <w:rPr>
          <w:rFonts w:cs="Arial"/>
          <w:szCs w:val="22"/>
        </w:rPr>
      </w:pPr>
      <w:r>
        <w:rPr>
          <w:rFonts w:cs="Arial"/>
          <w:szCs w:val="22"/>
        </w:rPr>
        <w:t>El alojamiento de los cables se realizará en tritubo de polietileno de alta densidad, formado por tres conductos de diámetro exterior cincuenta milímetros (50 mm) y espesor de tres milímetros (3 mm), dispuestos en un plano y unidos entre sí por medio de una membrana.</w:t>
      </w:r>
    </w:p>
    <w:p w:rsidR="00C7085E" w:rsidRDefault="00C7085E" w:rsidP="00B71B1A">
      <w:pPr>
        <w:tabs>
          <w:tab w:val="left" w:pos="0"/>
        </w:tabs>
        <w:spacing w:before="120" w:after="240" w:line="276" w:lineRule="auto"/>
        <w:ind w:right="-285"/>
        <w:rPr>
          <w:rFonts w:cs="Arial"/>
          <w:szCs w:val="22"/>
        </w:rPr>
      </w:pPr>
      <w:r>
        <w:rPr>
          <w:rFonts w:cs="Arial"/>
          <w:szCs w:val="22"/>
        </w:rPr>
        <w:t>Junto con el tritubo se utilizarán dos tipos de elementos:</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Manguitos de empalme: Se enroscarán en caso de finalización de la bobina de tritubo o para reparaciones del mismo.</w:t>
      </w:r>
    </w:p>
    <w:p w:rsidR="00C7085E" w:rsidRDefault="00C7085E" w:rsidP="00B71B1A">
      <w:pPr>
        <w:pStyle w:val="Prrafodelista"/>
        <w:numPr>
          <w:ilvl w:val="0"/>
          <w:numId w:val="13"/>
        </w:numPr>
        <w:autoSpaceDE w:val="0"/>
        <w:autoSpaceDN w:val="0"/>
        <w:adjustRightInd w:val="0"/>
        <w:spacing w:before="120" w:after="240"/>
        <w:ind w:left="714" w:right="-285" w:hanging="357"/>
        <w:rPr>
          <w:rFonts w:ascii="Arial" w:hAnsi="Arial" w:cs="Arial"/>
        </w:rPr>
      </w:pPr>
      <w:r>
        <w:rPr>
          <w:rFonts w:ascii="Arial" w:hAnsi="Arial" w:cs="Arial"/>
        </w:rPr>
        <w:t>Tapones de obturación: Se colocarán en conductos que permanezcan vacíos. Dispondrá de un sistema de fijación hermético por presión en la pared interna del conducto.</w:t>
      </w:r>
    </w:p>
    <w:p w:rsidR="00C7085E" w:rsidRDefault="00C7085E" w:rsidP="00B71B1A">
      <w:pPr>
        <w:tabs>
          <w:tab w:val="left" w:pos="0"/>
        </w:tabs>
        <w:spacing w:before="120" w:after="240" w:line="276" w:lineRule="auto"/>
        <w:ind w:right="-285"/>
        <w:rPr>
          <w:rFonts w:cs="Arial"/>
          <w:szCs w:val="22"/>
        </w:rPr>
      </w:pPr>
      <w:r>
        <w:rPr>
          <w:rFonts w:cs="Arial"/>
          <w:szCs w:val="22"/>
        </w:rPr>
        <w:t>Siempre quedarán instalados hilos guía que faciliten el futuro tendido de cables.</w:t>
      </w:r>
    </w:p>
    <w:p w:rsidR="00C7085E" w:rsidRDefault="00C7085E" w:rsidP="00B71B1A">
      <w:pPr>
        <w:tabs>
          <w:tab w:val="left" w:pos="0"/>
        </w:tabs>
        <w:spacing w:before="120" w:after="240" w:line="276" w:lineRule="auto"/>
        <w:ind w:right="-285"/>
        <w:rPr>
          <w:rFonts w:cs="Arial"/>
          <w:szCs w:val="22"/>
        </w:rPr>
      </w:pPr>
      <w:r>
        <w:rPr>
          <w:rFonts w:cs="Arial"/>
          <w:szCs w:val="22"/>
        </w:rPr>
        <w:t>Las características de los distintos elementos así como la forma de ejecutarlo, se encuentran definidas en la Norma Técnica para instalaciones de tritubo de polietileno en conducciones enterradas de comunicaciones de Canal de Isabel II Gestión vigente.</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szCs w:val="20"/>
        </w:rPr>
      </w:pPr>
      <w:bookmarkStart w:id="841" w:name="_Toc414022119"/>
      <w:bookmarkStart w:id="842" w:name="_Toc448741519"/>
      <w:r>
        <w:t>Equipamiento de medida de nivel tipo radar</w:t>
      </w:r>
      <w:bookmarkEnd w:id="841"/>
      <w:bookmarkEnd w:id="842"/>
    </w:p>
    <w:p w:rsidR="00C7085E" w:rsidRDefault="00C7085E" w:rsidP="00B71B1A">
      <w:pPr>
        <w:spacing w:before="120" w:after="240" w:line="276" w:lineRule="auto"/>
        <w:ind w:right="-285"/>
      </w:pPr>
      <w:r>
        <w:t xml:space="preserve">Se instalará un medidor de tipo radar con: </w:t>
      </w:r>
    </w:p>
    <w:p w:rsidR="00C7085E" w:rsidRDefault="00C7085E" w:rsidP="00B71B1A">
      <w:pPr>
        <w:widowControl/>
        <w:numPr>
          <w:ilvl w:val="0"/>
          <w:numId w:val="12"/>
        </w:numPr>
        <w:spacing w:before="120" w:after="240" w:line="276" w:lineRule="auto"/>
        <w:ind w:left="714" w:right="-285" w:hanging="357"/>
      </w:pPr>
      <w:r>
        <w:lastRenderedPageBreak/>
        <w:t>Indicador local, independiente del elemento detector radar</w:t>
      </w:r>
    </w:p>
    <w:p w:rsidR="00C7085E" w:rsidRDefault="00C7085E" w:rsidP="00B71B1A">
      <w:pPr>
        <w:widowControl/>
        <w:numPr>
          <w:ilvl w:val="0"/>
          <w:numId w:val="12"/>
        </w:numPr>
        <w:spacing w:before="120" w:after="240" w:line="276" w:lineRule="auto"/>
        <w:ind w:left="714" w:right="-285" w:hanging="357"/>
      </w:pPr>
      <w:r>
        <w:t>División del valor de medición: 1 mm</w:t>
      </w:r>
    </w:p>
    <w:p w:rsidR="00C7085E" w:rsidRDefault="00C7085E" w:rsidP="00B71B1A">
      <w:pPr>
        <w:widowControl/>
        <w:numPr>
          <w:ilvl w:val="0"/>
          <w:numId w:val="12"/>
        </w:numPr>
        <w:spacing w:before="120" w:after="240" w:line="276" w:lineRule="auto"/>
        <w:ind w:left="714" w:right="-285" w:hanging="357"/>
      </w:pPr>
      <w:r>
        <w:t>Exactitud de la medición: Precisión: mínimo a 5 m: +/-0,1%</w:t>
      </w:r>
    </w:p>
    <w:p w:rsidR="00C7085E" w:rsidRDefault="00C7085E" w:rsidP="00B71B1A">
      <w:pPr>
        <w:widowControl/>
        <w:numPr>
          <w:ilvl w:val="0"/>
          <w:numId w:val="12"/>
        </w:numPr>
        <w:spacing w:before="120" w:after="240" w:line="276" w:lineRule="auto"/>
        <w:ind w:left="714" w:right="-285" w:hanging="357"/>
      </w:pPr>
      <w:r>
        <w:t>Equipo a 4 hilos</w:t>
      </w:r>
    </w:p>
    <w:p w:rsidR="00C7085E" w:rsidRDefault="00C7085E" w:rsidP="00B71B1A">
      <w:pPr>
        <w:widowControl/>
        <w:numPr>
          <w:ilvl w:val="0"/>
          <w:numId w:val="12"/>
        </w:numPr>
        <w:spacing w:before="120" w:after="240" w:line="276" w:lineRule="auto"/>
        <w:ind w:left="714" w:right="-285" w:hanging="357"/>
      </w:pPr>
      <w:r>
        <w:t>Conexión a proceso mediante brida de acero inoxidable según UNE-EN 1092</w:t>
      </w:r>
    </w:p>
    <w:p w:rsidR="00C7085E" w:rsidRDefault="00C7085E" w:rsidP="00B71B1A">
      <w:pPr>
        <w:widowControl/>
        <w:numPr>
          <w:ilvl w:val="0"/>
          <w:numId w:val="12"/>
        </w:numPr>
        <w:spacing w:before="120" w:after="240" w:line="276" w:lineRule="auto"/>
        <w:ind w:left="714" w:right="-285" w:hanging="357"/>
      </w:pPr>
      <w:r>
        <w:t>Contacto de alarma por fallo</w:t>
      </w:r>
    </w:p>
    <w:p w:rsidR="00C7085E" w:rsidRDefault="00C7085E" w:rsidP="00B71B1A">
      <w:pPr>
        <w:widowControl/>
        <w:numPr>
          <w:ilvl w:val="0"/>
          <w:numId w:val="12"/>
        </w:numPr>
        <w:spacing w:before="120" w:after="240" w:line="276" w:lineRule="auto"/>
        <w:ind w:left="714" w:right="-285" w:hanging="357"/>
      </w:pPr>
      <w:r>
        <w:t>Salida tipo 4-20 mA y /o comunicaciones</w:t>
      </w:r>
    </w:p>
    <w:p w:rsidR="00C7085E" w:rsidRDefault="00C7085E" w:rsidP="00B71B1A">
      <w:pPr>
        <w:widowControl/>
        <w:numPr>
          <w:ilvl w:val="0"/>
          <w:numId w:val="12"/>
        </w:numPr>
        <w:spacing w:before="120" w:after="240" w:line="276" w:lineRule="auto"/>
        <w:ind w:left="714" w:right="-285" w:hanging="357"/>
      </w:pPr>
      <w:r>
        <w:t>Alimentación 24 Vcc o 24-250 Vca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43" w:name="_Toc414022120"/>
      <w:bookmarkStart w:id="844" w:name="_Toc448741520"/>
      <w:r>
        <w:t>Equipamiento de medida de nivel tipo ultrasónico</w:t>
      </w:r>
      <w:bookmarkEnd w:id="843"/>
      <w:bookmarkEnd w:id="844"/>
    </w:p>
    <w:p w:rsidR="00C7085E" w:rsidRDefault="00C7085E" w:rsidP="00B71B1A">
      <w:pPr>
        <w:tabs>
          <w:tab w:val="left" w:pos="0"/>
        </w:tabs>
        <w:spacing w:before="120" w:after="240" w:line="276" w:lineRule="auto"/>
        <w:ind w:right="-285"/>
        <w:rPr>
          <w:rFonts w:cs="Arial"/>
          <w:szCs w:val="22"/>
        </w:rPr>
      </w:pPr>
      <w:r>
        <w:rPr>
          <w:rFonts w:cs="Arial"/>
          <w:szCs w:val="22"/>
        </w:rPr>
        <w:t>Se instalará un medidor de tipo ultrasónico de las siguientes características: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Medidor:</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Electrónica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Microprocesador.</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Material caja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ABS o policarbonato.</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Protección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IP 65.</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Tensión alimentación</w:t>
      </w:r>
      <w:r>
        <w:rPr>
          <w:rFonts w:ascii="Arial" w:hAnsi="Arial" w:cs="Arial"/>
        </w:rPr>
        <w:tab/>
      </w:r>
      <w:r>
        <w:rPr>
          <w:rFonts w:ascii="Arial" w:hAnsi="Arial" w:cs="Arial"/>
        </w:rPr>
        <w:tab/>
      </w:r>
      <w:r>
        <w:rPr>
          <w:rFonts w:ascii="Arial" w:hAnsi="Arial" w:cs="Arial"/>
        </w:rPr>
        <w:tab/>
        <w:t>24 Vcc o 24-230 Vca.</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Entrada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Galvánicamente separada.</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Contactos de alarma</w:t>
      </w:r>
      <w:r>
        <w:rPr>
          <w:rFonts w:ascii="Arial" w:hAnsi="Arial" w:cs="Arial"/>
        </w:rPr>
        <w:tab/>
      </w:r>
      <w:r>
        <w:rPr>
          <w:rFonts w:ascii="Arial" w:hAnsi="Arial" w:cs="Arial"/>
        </w:rPr>
        <w:tab/>
      </w:r>
      <w:r>
        <w:rPr>
          <w:rFonts w:ascii="Arial" w:hAnsi="Arial" w:cs="Arial"/>
        </w:rPr>
        <w:tab/>
        <w:t>Mínimo 2.</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Alarma de funcionamiento</w:t>
      </w:r>
      <w:r>
        <w:rPr>
          <w:rFonts w:ascii="Arial" w:hAnsi="Arial" w:cs="Arial"/>
        </w:rPr>
        <w:tab/>
        <w:t>1 relé con un contacto libre de potencial.</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Precisión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0,25% del valor medido o mejor.</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Indicación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LCD y LED.</w:t>
      </w:r>
    </w:p>
    <w:p w:rsidR="00C7085E" w:rsidRDefault="00534627"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Salida: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C7085E">
        <w:rPr>
          <w:rFonts w:ascii="Arial" w:hAnsi="Arial" w:cs="Arial"/>
        </w:rPr>
        <w:t>Tipo 4-20 mA y/o comunicaciones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Sensor ultrasónico:</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Caja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Polipropileno.</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Montaje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Rosca 1” gas.</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Protección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IP 68.</w:t>
      </w:r>
    </w:p>
    <w:p w:rsidR="00C7085E" w:rsidRDefault="00C7085E" w:rsidP="00B71B1A">
      <w:pPr>
        <w:pStyle w:val="Prrafodelista"/>
        <w:numPr>
          <w:ilvl w:val="1"/>
          <w:numId w:val="13"/>
        </w:numPr>
        <w:suppressAutoHyphens w:val="0"/>
        <w:autoSpaceDE w:val="0"/>
        <w:autoSpaceDN w:val="0"/>
        <w:adjustRightInd w:val="0"/>
        <w:spacing w:before="120" w:after="240"/>
        <w:ind w:left="1094" w:right="-285" w:hanging="357"/>
        <w:rPr>
          <w:rFonts w:ascii="Arial" w:hAnsi="Arial" w:cs="Arial"/>
        </w:rPr>
      </w:pPr>
      <w:r>
        <w:rPr>
          <w:rFonts w:ascii="Arial" w:hAnsi="Arial" w:cs="Arial"/>
        </w:rPr>
        <w:t>Alcance de la medida</w:t>
      </w:r>
      <w:r>
        <w:rPr>
          <w:rFonts w:ascii="Arial" w:hAnsi="Arial" w:cs="Arial"/>
        </w:rPr>
        <w:tab/>
      </w:r>
      <w:r>
        <w:rPr>
          <w:rFonts w:ascii="Arial" w:hAnsi="Arial" w:cs="Arial"/>
        </w:rPr>
        <w:tab/>
        <w:t>10 m para líquidos.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rPr>
      </w:pPr>
      <w:bookmarkStart w:id="845" w:name="_Toc448741521"/>
      <w:r>
        <w:t>Analizadores de redes</w:t>
      </w:r>
      <w:bookmarkEnd w:id="845"/>
    </w:p>
    <w:p w:rsidR="00C7085E" w:rsidRDefault="00C7085E" w:rsidP="00B71B1A">
      <w:pPr>
        <w:tabs>
          <w:tab w:val="left" w:pos="0"/>
        </w:tabs>
        <w:spacing w:before="120" w:after="240" w:line="276" w:lineRule="auto"/>
        <w:ind w:right="-285"/>
        <w:rPr>
          <w:rFonts w:cs="Arial"/>
          <w:szCs w:val="22"/>
        </w:rPr>
      </w:pPr>
      <w:r>
        <w:rPr>
          <w:rFonts w:cs="Arial"/>
          <w:szCs w:val="22"/>
        </w:rPr>
        <w:t>Se instalará un analizador de redes con salida de datos con el protocolo seleccionado para el sistema de control de la instalación con las siguientes características: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 xml:space="preserve">Bornas de trafos cortocircuitables </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Separación galvánica de entradas de medida y salida de control</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rPr>
      </w:pPr>
      <w:r>
        <w:rPr>
          <w:rFonts w:ascii="Arial" w:hAnsi="Arial" w:cs="Arial"/>
        </w:rPr>
        <w:t>Clase 0.5</w:t>
      </w:r>
    </w:p>
    <w:p w:rsidR="00C7085E" w:rsidRDefault="00C7085E" w:rsidP="00B71B1A">
      <w:pPr>
        <w:spacing w:before="120" w:after="240" w:line="276" w:lineRule="auto"/>
        <w:ind w:right="-285"/>
      </w:pPr>
      <w:r>
        <w:t>Se instalará un analizador general, uno por entrada de cada transformador, uno por cada grupo instalado de potencia de más de 75 kW.</w:t>
      </w:r>
    </w:p>
    <w:p w:rsidR="00C7085E" w:rsidRDefault="00C7085E" w:rsidP="00B71B1A">
      <w:pPr>
        <w:keepNext/>
        <w:keepLines/>
        <w:spacing w:before="120" w:after="240" w:line="276" w:lineRule="auto"/>
        <w:ind w:right="-285"/>
      </w:pPr>
      <w:r>
        <w:lastRenderedPageBreak/>
        <w:t>Los parámetros eléctricos serán los siguientes:</w:t>
      </w:r>
    </w:p>
    <w:tbl>
      <w:tblPr>
        <w:tblStyle w:val="Tablaconcuadrcula"/>
        <w:tblW w:w="0" w:type="auto"/>
        <w:tblInd w:w="714" w:type="dxa"/>
        <w:tblLook w:val="04A0" w:firstRow="1" w:lastRow="0" w:firstColumn="1" w:lastColumn="0" w:noHBand="0" w:noVBand="1"/>
      </w:tblPr>
      <w:tblGrid>
        <w:gridCol w:w="1457"/>
        <w:gridCol w:w="3740"/>
        <w:gridCol w:w="1231"/>
        <w:gridCol w:w="1578"/>
      </w:tblGrid>
      <w:tr w:rsidR="00C7085E" w:rsidTr="00A9273B">
        <w:trPr>
          <w:tblHeader/>
        </w:trPr>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keepNext/>
              <w:keepLines/>
              <w:suppressAutoHyphens w:val="0"/>
              <w:autoSpaceDE w:val="0"/>
              <w:autoSpaceDN w:val="0"/>
              <w:adjustRightInd w:val="0"/>
              <w:spacing w:before="120" w:after="240"/>
              <w:ind w:left="0" w:right="-285"/>
              <w:jc w:val="center"/>
              <w:rPr>
                <w:rFonts w:ascii="Arial" w:hAnsi="Arial" w:cs="Arial"/>
                <w:b/>
              </w:rPr>
            </w:pPr>
            <w:r>
              <w:rPr>
                <w:rFonts w:ascii="Arial" w:hAnsi="Arial" w:cs="Arial"/>
                <w:b/>
              </w:rPr>
              <w:t>Parámetro</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keepNext/>
              <w:keepLines/>
              <w:suppressAutoHyphens w:val="0"/>
              <w:autoSpaceDE w:val="0"/>
              <w:autoSpaceDN w:val="0"/>
              <w:adjustRightInd w:val="0"/>
              <w:spacing w:before="120" w:after="240"/>
              <w:ind w:left="0" w:right="-285"/>
              <w:jc w:val="center"/>
              <w:rPr>
                <w:rFonts w:ascii="Arial" w:hAnsi="Arial" w:cs="Arial"/>
                <w:b/>
              </w:rPr>
            </w:pPr>
            <w:r>
              <w:rPr>
                <w:rFonts w:ascii="Arial" w:hAnsi="Arial" w:cs="Arial"/>
                <w:b/>
              </w:rPr>
              <w:t>Descripción</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keepNext/>
              <w:keepLines/>
              <w:suppressAutoHyphens w:val="0"/>
              <w:autoSpaceDE w:val="0"/>
              <w:autoSpaceDN w:val="0"/>
              <w:adjustRightInd w:val="0"/>
              <w:spacing w:before="120" w:after="240"/>
              <w:ind w:left="0" w:right="-285"/>
              <w:jc w:val="center"/>
              <w:rPr>
                <w:rFonts w:ascii="Arial" w:hAnsi="Arial" w:cs="Arial"/>
                <w:b/>
              </w:rPr>
            </w:pPr>
            <w:r>
              <w:rPr>
                <w:rFonts w:ascii="Arial" w:hAnsi="Arial" w:cs="Arial"/>
                <w:b/>
              </w:rPr>
              <w:t>Unidades</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keepNext/>
              <w:keepLines/>
              <w:suppressAutoHyphens w:val="0"/>
              <w:autoSpaceDE w:val="0"/>
              <w:autoSpaceDN w:val="0"/>
              <w:adjustRightInd w:val="0"/>
              <w:spacing w:before="120" w:after="240"/>
              <w:ind w:left="0" w:right="-285"/>
              <w:jc w:val="center"/>
              <w:rPr>
                <w:rFonts w:ascii="Arial" w:hAnsi="Arial" w:cs="Arial"/>
                <w:b/>
              </w:rPr>
            </w:pPr>
            <w:r>
              <w:rPr>
                <w:rFonts w:ascii="Arial" w:hAnsi="Arial" w:cs="Arial"/>
                <w:b/>
              </w:rPr>
              <w:t>Decimales</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Tensión media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V</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0</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2</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Tensión L1-L3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V</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0</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3</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Tensión L1-L3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V</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0</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4</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Tensión L2-L3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V</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0</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5</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Intensidad media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A</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6</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Intensidad L1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A</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7</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Intensidad L2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A</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8</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Intensidad L3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A</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9</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Potencia activa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kW</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10</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Potencia reactiva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kVar</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11</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Factor de potencia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2</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12</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Frecuencia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Hz</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13</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Energía activa total tarifa 1 importada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kWh</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0</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14</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Energía reactiva total tarifa 1 importada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kvarh</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0</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15</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THD-R tensión L1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16</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THD-R tensión L2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17</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THD-R tensión L3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18</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THD-R intensidad L1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19</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THD-R intensidad L2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20</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THD-R intensidad L3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1</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21</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Horas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h</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2</w:t>
            </w:r>
          </w:p>
        </w:tc>
      </w:tr>
      <w:tr w:rsidR="00C7085E" w:rsidTr="00C7085E">
        <w:tc>
          <w:tcPr>
            <w:tcW w:w="1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22</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Arranques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Decimal</w:t>
            </w:r>
          </w:p>
        </w:tc>
        <w:tc>
          <w:tcPr>
            <w:tcW w:w="1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pStyle w:val="Prrafodelista"/>
              <w:suppressAutoHyphens w:val="0"/>
              <w:autoSpaceDE w:val="0"/>
              <w:autoSpaceDN w:val="0"/>
              <w:adjustRightInd w:val="0"/>
              <w:spacing w:before="120" w:after="240"/>
              <w:ind w:left="0" w:right="-285"/>
              <w:jc w:val="center"/>
              <w:rPr>
                <w:rFonts w:ascii="Arial" w:hAnsi="Arial" w:cs="Arial"/>
              </w:rPr>
            </w:pPr>
            <w:r>
              <w:rPr>
                <w:rFonts w:ascii="Arial" w:hAnsi="Arial" w:cs="Arial"/>
              </w:rPr>
              <w:t>0</w:t>
            </w:r>
          </w:p>
        </w:tc>
      </w:tr>
    </w:tbl>
    <w:p w:rsidR="00C7085E" w:rsidRDefault="00C7085E" w:rsidP="00B71B1A">
      <w:pPr>
        <w:pStyle w:val="Tabla"/>
        <w:spacing w:before="120" w:line="276" w:lineRule="auto"/>
        <w:ind w:right="-285"/>
      </w:pPr>
      <w:r>
        <w:t>Parámetros eléctricos</w:t>
      </w:r>
    </w:p>
    <w:p w:rsidR="00C7085E" w:rsidRDefault="00C7085E" w:rsidP="00B71B1A">
      <w:pPr>
        <w:tabs>
          <w:tab w:val="left" w:pos="0"/>
        </w:tabs>
        <w:spacing w:before="120" w:after="240" w:line="276" w:lineRule="auto"/>
        <w:ind w:right="-285"/>
        <w:rPr>
          <w:rFonts w:cs="Arial"/>
          <w:szCs w:val="22"/>
        </w:rPr>
      </w:pPr>
      <w:r>
        <w:rPr>
          <w:rFonts w:cs="Arial"/>
          <w:szCs w:val="22"/>
        </w:rPr>
        <w:lastRenderedPageBreak/>
        <w:t>Los parámetros 21 y 22 sólo se tomarán de los analizadores de energía de las instalaciones elevadoras de agua para consumo humano.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szCs w:val="20"/>
        </w:rPr>
      </w:pPr>
      <w:bookmarkStart w:id="846" w:name="_Toc414022134"/>
      <w:bookmarkStart w:id="847" w:name="_Toc402443202"/>
      <w:bookmarkStart w:id="848" w:name="_Toc448741522"/>
      <w:r>
        <w:t>Equipamiento de medida de caudal</w:t>
      </w:r>
      <w:bookmarkEnd w:id="846"/>
      <w:bookmarkEnd w:id="847"/>
      <w:bookmarkEnd w:id="848"/>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Materiales</w:t>
      </w:r>
    </w:p>
    <w:p w:rsidR="00C7085E" w:rsidRDefault="00C7085E" w:rsidP="00B71B1A">
      <w:pPr>
        <w:spacing w:before="120" w:after="240" w:line="276" w:lineRule="auto"/>
        <w:ind w:right="-285"/>
        <w:rPr>
          <w:rFonts w:cs="Arial"/>
        </w:rPr>
      </w:pPr>
      <w:r>
        <w:rPr>
          <w:rFonts w:cs="Arial"/>
        </w:rPr>
        <w:t>La medida del caudal se realizará mediante caudalímetros instalados en las tuberías.</w:t>
      </w:r>
    </w:p>
    <w:p w:rsidR="00C7085E" w:rsidRDefault="00C7085E" w:rsidP="00B71B1A">
      <w:pPr>
        <w:spacing w:before="120" w:after="240" w:line="276" w:lineRule="auto"/>
        <w:ind w:right="-285"/>
      </w:pPr>
      <w:r>
        <w:t>La precisión de todos los caudalímetros a instalar será de un 1%.</w:t>
      </w:r>
    </w:p>
    <w:p w:rsidR="00C7085E" w:rsidRDefault="00C7085E" w:rsidP="00B71B1A">
      <w:pPr>
        <w:spacing w:before="120" w:after="240" w:line="276" w:lineRule="auto"/>
        <w:ind w:right="-285"/>
      </w:pPr>
      <w:r>
        <w:t>En función del principio de medida los caudalímetros a colocar podrán ser de dos tipos:</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Caudalímetros por ultrasonidos</w:t>
      </w:r>
    </w:p>
    <w:p w:rsidR="00C7085E" w:rsidRDefault="00C7085E" w:rsidP="00B71B1A">
      <w:pPr>
        <w:spacing w:before="120" w:after="240" w:line="276" w:lineRule="auto"/>
        <w:ind w:right="-285"/>
        <w:rPr>
          <w:lang w:val="es-ES_tradnl"/>
        </w:rPr>
      </w:pPr>
      <w:r>
        <w:t>Los caudalímetros por ultrasonidos estarán compuestos por un carrete, una sonda o transductor y la electrónica del convertidor. El principio de medida será por el tiempo de tránsito entre dos señales y serán de dos haces o los necesarios para alcanzar la precisión del 1% indicada.</w:t>
      </w:r>
    </w:p>
    <w:p w:rsidR="00C7085E" w:rsidRDefault="00C7085E" w:rsidP="00B71B1A">
      <w:pPr>
        <w:spacing w:before="120" w:after="240" w:line="276" w:lineRule="auto"/>
        <w:ind w:right="-285"/>
      </w:pPr>
      <w:r>
        <w:t>Dispondrán de grado de protección IP68.</w:t>
      </w:r>
    </w:p>
    <w:p w:rsidR="00C7085E" w:rsidRDefault="00C7085E" w:rsidP="00B71B1A">
      <w:pPr>
        <w:pStyle w:val="Prrafodelista"/>
        <w:numPr>
          <w:ilvl w:val="0"/>
          <w:numId w:val="13"/>
        </w:numPr>
        <w:suppressAutoHyphens w:val="0"/>
        <w:autoSpaceDE w:val="0"/>
        <w:autoSpaceDN w:val="0"/>
        <w:adjustRightInd w:val="0"/>
        <w:spacing w:before="120" w:after="240"/>
        <w:ind w:left="714" w:right="-285" w:hanging="357"/>
        <w:rPr>
          <w:rFonts w:ascii="Arial" w:hAnsi="Arial" w:cs="Arial"/>
          <w:lang w:val="es-ES_tradnl"/>
        </w:rPr>
      </w:pPr>
      <w:r>
        <w:rPr>
          <w:rFonts w:ascii="Arial" w:hAnsi="Arial" w:cs="Arial"/>
          <w:lang w:val="es-ES_tradnl"/>
        </w:rPr>
        <w:t>Caudalímetros electromagnéticos</w:t>
      </w:r>
    </w:p>
    <w:p w:rsidR="00C7085E" w:rsidRDefault="00C7085E" w:rsidP="00B71B1A">
      <w:pPr>
        <w:spacing w:before="120" w:after="240" w:line="276" w:lineRule="auto"/>
        <w:ind w:right="-285"/>
        <w:rPr>
          <w:lang w:val="es-ES_tradnl"/>
        </w:rPr>
      </w:pPr>
      <w:r>
        <w:t>Estarán formados por un elemento primario, carrete con bobinas y electrodos, con grado de protección IP68 y su correspondiente electrónica del convertidor, ambos independientes con el fin de que ésta sea instalada sin riesgo de ser afectada ante posibles inundaciones.</w:t>
      </w:r>
    </w:p>
    <w:p w:rsidR="00C7085E" w:rsidRDefault="00C7085E" w:rsidP="00B71B1A">
      <w:pPr>
        <w:spacing w:before="120" w:after="240" w:line="276" w:lineRule="auto"/>
        <w:ind w:right="-285"/>
      </w:pPr>
      <w:r>
        <w:t>En el caso de los caudalímetros a instalar en conducciones parcialmente llenas, su funcionamiento estará basado en el principio de medida de nivel continuo capacitivo.</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Ejecución</w:t>
      </w:r>
    </w:p>
    <w:p w:rsidR="00C7085E" w:rsidRDefault="00C7085E" w:rsidP="00B71B1A">
      <w:pPr>
        <w:spacing w:before="120" w:after="240" w:line="276" w:lineRule="auto"/>
        <w:ind w:right="-285"/>
      </w:pPr>
      <w:r>
        <w:t>Los caudalímetros se conectarán a la tubería mediante bridas, según la norma UNE-EN 1092: “</w:t>
      </w:r>
      <w:r>
        <w:rPr>
          <w:i/>
        </w:rPr>
        <w:t>Bridas y sus uniones. Bridas circulares para tuberías, grifería, accesorios y piezas especiales, designación PN. Parte 1: Bridas de acero</w:t>
      </w:r>
      <w:r>
        <w:t>”.</w:t>
      </w:r>
    </w:p>
    <w:p w:rsidR="00C7085E" w:rsidRDefault="00C7085E" w:rsidP="00B71B1A">
      <w:pPr>
        <w:spacing w:before="120" w:after="240" w:line="276" w:lineRule="auto"/>
        <w:ind w:right="-285"/>
      </w:pPr>
      <w:r>
        <w:t>Para su instalación será necesario disponer de tramos rectos de longitud suficiente aguas arriba y aguas debajo de los mismos, para obtener un perfil óptimo del líquido y así el error de medición este dentro del margen admitido por el fabricante.</w:t>
      </w:r>
    </w:p>
    <w:p w:rsidR="00C7085E" w:rsidRDefault="00C7085E" w:rsidP="00B71B1A">
      <w:pPr>
        <w:spacing w:before="120" w:after="240" w:line="276" w:lineRule="auto"/>
        <w:ind w:right="-285"/>
      </w:pPr>
      <w:r>
        <w:t>En el caso de los caudalímetros electromagnéticos, las longitudes mínimas de tramos rectos serán:</w:t>
      </w:r>
    </w:p>
    <w:p w:rsidR="00C7085E" w:rsidRDefault="00C7085E" w:rsidP="00B71B1A">
      <w:pPr>
        <w:widowControl/>
        <w:numPr>
          <w:ilvl w:val="0"/>
          <w:numId w:val="8"/>
        </w:numPr>
        <w:spacing w:before="120" w:after="240" w:line="276" w:lineRule="auto"/>
        <w:ind w:right="-285"/>
      </w:pPr>
      <w:r>
        <w:t>Tramo recto de entrada:</w:t>
      </w:r>
      <w:r>
        <w:tab/>
        <w:t>L &gt; 5 DN</w:t>
      </w:r>
    </w:p>
    <w:p w:rsidR="00C7085E" w:rsidRDefault="00C7085E" w:rsidP="00B71B1A">
      <w:pPr>
        <w:widowControl/>
        <w:numPr>
          <w:ilvl w:val="0"/>
          <w:numId w:val="8"/>
        </w:numPr>
        <w:spacing w:before="120" w:after="240" w:line="276" w:lineRule="auto"/>
        <w:ind w:left="714" w:right="-285" w:hanging="357"/>
      </w:pPr>
      <w:r>
        <w:t>Tramo recto de salida:</w:t>
      </w:r>
      <w:r>
        <w:tab/>
        <w:t>L &gt; 3 DN</w:t>
      </w:r>
    </w:p>
    <w:p w:rsidR="00C7085E" w:rsidRDefault="00C7085E" w:rsidP="00B71B1A">
      <w:pPr>
        <w:spacing w:before="120" w:after="240" w:line="276" w:lineRule="auto"/>
        <w:ind w:right="-285"/>
      </w:pPr>
    </w:p>
    <w:p w:rsidR="00C7085E" w:rsidRDefault="00C7085E" w:rsidP="00B71B1A">
      <w:pPr>
        <w:spacing w:before="120" w:after="240" w:line="276" w:lineRule="auto"/>
        <w:ind w:right="-285"/>
      </w:pPr>
      <w:r>
        <w:t>En el caso de los caudalímetros por ultrasonidos, estas longitudes mínimas serán función del elemento perturbador dispuesto.</w:t>
      </w:r>
    </w:p>
    <w:tbl>
      <w:tblPr>
        <w:tblStyle w:val="Tablaconcuadrcula"/>
        <w:tblW w:w="0" w:type="auto"/>
        <w:tblInd w:w="675" w:type="dxa"/>
        <w:tblLook w:val="04A0" w:firstRow="1" w:lastRow="0" w:firstColumn="1" w:lastColumn="0" w:noHBand="0" w:noVBand="1"/>
      </w:tblPr>
      <w:tblGrid>
        <w:gridCol w:w="4395"/>
        <w:gridCol w:w="1559"/>
        <w:gridCol w:w="1559"/>
      </w:tblGrid>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085E" w:rsidRDefault="00C7085E" w:rsidP="00B71B1A">
            <w:pPr>
              <w:spacing w:before="120" w:after="240" w:line="276" w:lineRule="auto"/>
              <w:ind w:right="-285"/>
            </w:pPr>
            <w:r>
              <w:rPr>
                <w:b/>
              </w:rPr>
              <w:t>Componente previo a caudalímetro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rPr>
                <w:b/>
              </w:rPr>
            </w:pPr>
            <w:r>
              <w:rPr>
                <w:b/>
              </w:rPr>
              <w:t>Tramo recto de entrada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rPr>
                <w:b/>
              </w:rPr>
            </w:pPr>
            <w:r>
              <w:rPr>
                <w:b/>
              </w:rPr>
              <w:t>Tramo recto de salida</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Válvula compuerta totalmente abierta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10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Válvula mariposa totalmente abierta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10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Válvula compuerta parcialmente abierta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50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Válvula mariposa parcialmente abierta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50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Válvula de retención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50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Reducción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10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Ampliación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15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Pieza en T con desviación de caudal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10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Pieza en T con desviación de caudal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25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Pieza en T con aportación de caudal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50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Bomba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100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Curva simple en mismo plano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20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2 Curvas en mismo plano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25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r w:rsidR="00C7085E" w:rsidTr="00C7085E">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pPr>
            <w:r>
              <w:t>2 Curvas en diferente plano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40 DN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085E" w:rsidRDefault="00C7085E" w:rsidP="00B71B1A">
            <w:pPr>
              <w:spacing w:before="120" w:after="240" w:line="276" w:lineRule="auto"/>
              <w:ind w:right="-285"/>
              <w:jc w:val="center"/>
            </w:pPr>
            <w:r>
              <w:t>5 DN</w:t>
            </w:r>
          </w:p>
        </w:tc>
      </w:tr>
    </w:tbl>
    <w:p w:rsidR="00C7085E" w:rsidRDefault="00C7085E" w:rsidP="00B71B1A">
      <w:pPr>
        <w:pStyle w:val="Tabla"/>
        <w:spacing w:before="120" w:line="276" w:lineRule="auto"/>
        <w:ind w:left="1077" w:right="-285" w:hanging="357"/>
      </w:pPr>
      <w:r>
        <w:t>Longitudes mínimas rectas</w:t>
      </w:r>
    </w:p>
    <w:p w:rsidR="00C7085E" w:rsidRDefault="00C7085E" w:rsidP="00B71B1A">
      <w:pPr>
        <w:spacing w:before="120" w:after="240" w:line="276" w:lineRule="auto"/>
        <w:ind w:right="-285"/>
      </w:pPr>
      <w:r>
        <w:t>Con carácter general, los caudalímetros serán suministrados por Canal de Isabel II Gestión, S.A. y para el montaje de los mismos será necesario disponer de la aprobación por parte de la Dirección de Obra.</w:t>
      </w:r>
    </w:p>
    <w:p w:rsidR="00534627" w:rsidRDefault="00534627"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49" w:name="_Toc414022135"/>
      <w:bookmarkStart w:id="850" w:name="_Toc402443203"/>
      <w:bookmarkStart w:id="851" w:name="_Toc448741523"/>
      <w:r>
        <w:lastRenderedPageBreak/>
        <w:t>Equipamiento de medida de caudal de fluidos gaseosos</w:t>
      </w:r>
      <w:bookmarkEnd w:id="849"/>
      <w:bookmarkEnd w:id="850"/>
      <w:bookmarkEnd w:id="851"/>
    </w:p>
    <w:p w:rsidR="00C7085E" w:rsidRDefault="00C7085E" w:rsidP="00B71B1A">
      <w:pPr>
        <w:spacing w:before="120" w:after="240" w:line="276" w:lineRule="auto"/>
        <w:ind w:right="-285"/>
      </w:pPr>
      <w:r>
        <w:t>Los caudalímetros serán del tipo de medida por dispersión térmica con las siguientes características:</w:t>
      </w:r>
    </w:p>
    <w:p w:rsidR="00C7085E" w:rsidRDefault="00C7085E" w:rsidP="00B71B1A">
      <w:pPr>
        <w:widowControl/>
        <w:numPr>
          <w:ilvl w:val="0"/>
          <w:numId w:val="8"/>
        </w:numPr>
        <w:spacing w:before="120" w:after="240" w:line="276" w:lineRule="auto"/>
        <w:ind w:left="714" w:right="-285" w:hanging="357"/>
      </w:pPr>
      <w:r>
        <w:t>Distancias mínimas entre codos 40 DN anteriores y 10 DN posteriores, tramos rectos sin perturbaciones 15 DN anteriores y 5 DN posteriores.</w:t>
      </w:r>
    </w:p>
    <w:p w:rsidR="00C7085E" w:rsidRDefault="00C7085E" w:rsidP="00B71B1A">
      <w:pPr>
        <w:widowControl/>
        <w:numPr>
          <w:ilvl w:val="0"/>
          <w:numId w:val="8"/>
        </w:numPr>
        <w:spacing w:before="120" w:after="240" w:line="276" w:lineRule="auto"/>
        <w:ind w:left="714" w:right="-285" w:hanging="357"/>
      </w:pPr>
      <w:r>
        <w:t>Indicador separado de la sonda de medida instantánea y totalizada</w:t>
      </w:r>
    </w:p>
    <w:p w:rsidR="00C7085E" w:rsidRDefault="00C7085E" w:rsidP="00B71B1A">
      <w:pPr>
        <w:widowControl/>
        <w:numPr>
          <w:ilvl w:val="0"/>
          <w:numId w:val="8"/>
        </w:numPr>
        <w:spacing w:before="120" w:after="240" w:line="276" w:lineRule="auto"/>
        <w:ind w:left="714" w:right="-285" w:hanging="357"/>
      </w:pPr>
      <w:r>
        <w:t>Salida analógica 4-20 mA.</w:t>
      </w:r>
    </w:p>
    <w:p w:rsidR="00C7085E" w:rsidRDefault="00C7085E" w:rsidP="00B71B1A">
      <w:pPr>
        <w:widowControl/>
        <w:numPr>
          <w:ilvl w:val="0"/>
          <w:numId w:val="8"/>
        </w:numPr>
        <w:spacing w:before="120" w:after="240" w:line="276" w:lineRule="auto"/>
        <w:ind w:left="714" w:right="-285" w:hanging="357"/>
      </w:pPr>
      <w:r>
        <w:t>Alimentación a 24 Vcc ó 240 Vca.</w:t>
      </w:r>
    </w:p>
    <w:p w:rsidR="00C7085E" w:rsidRDefault="00C7085E" w:rsidP="00B71B1A">
      <w:pPr>
        <w:spacing w:before="120" w:after="240" w:line="276" w:lineRule="auto"/>
        <w:ind w:right="-285"/>
      </w:pPr>
      <w:r>
        <w:t>El punto de instalación tendrá que ser aceptado por la Dirección de Obra.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52" w:name="_Toc448741524"/>
      <w:r>
        <w:t>Equipamiento de medida de oxígeno disuelto</w:t>
      </w:r>
      <w:bookmarkEnd w:id="852"/>
    </w:p>
    <w:p w:rsidR="00C7085E" w:rsidRDefault="00C7085E" w:rsidP="00B71B1A">
      <w:pPr>
        <w:spacing w:before="120" w:after="240" w:line="276" w:lineRule="auto"/>
        <w:ind w:right="-285"/>
      </w:pPr>
      <w:r>
        <w:t>Estará constituido por un sensor o sonda, un transmisor y un convertidor de señal.</w:t>
      </w:r>
    </w:p>
    <w:p w:rsidR="00C7085E" w:rsidRDefault="00C7085E" w:rsidP="00B71B1A">
      <w:pPr>
        <w:widowControl/>
        <w:numPr>
          <w:ilvl w:val="0"/>
          <w:numId w:val="8"/>
        </w:numPr>
        <w:suppressAutoHyphens/>
        <w:spacing w:before="120" w:after="240" w:line="276" w:lineRule="auto"/>
        <w:ind w:right="-285"/>
      </w:pPr>
      <w:r>
        <w:t>Sensor tipo célula de Clark Intercambiable. Vida útil 2-3 años. Temperatura de operación 0º a 40ºC.</w:t>
      </w:r>
    </w:p>
    <w:p w:rsidR="00C7085E" w:rsidRDefault="00C7085E" w:rsidP="00B71B1A">
      <w:pPr>
        <w:widowControl/>
        <w:numPr>
          <w:ilvl w:val="0"/>
          <w:numId w:val="8"/>
        </w:numPr>
        <w:suppressAutoHyphens/>
        <w:spacing w:before="120" w:after="240" w:line="276" w:lineRule="auto"/>
        <w:ind w:right="-285"/>
      </w:pPr>
      <w:r>
        <w:t>Transmisor:</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Rango de medida oxígeno:</w:t>
      </w:r>
      <w:r>
        <w:rPr>
          <w:rFonts w:ascii="Arial" w:hAnsi="Arial" w:cs="Arial"/>
        </w:rPr>
        <w:tab/>
      </w:r>
      <w:r>
        <w:rPr>
          <w:rFonts w:ascii="Arial" w:hAnsi="Arial" w:cs="Arial"/>
        </w:rPr>
        <w:tab/>
        <w:t>0 a 1 – 50 mgl/ppm.</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 xml:space="preserve">Precisión de medida de oxígeno: </w:t>
      </w:r>
      <w:r>
        <w:rPr>
          <w:rFonts w:ascii="Arial" w:hAnsi="Arial" w:cs="Arial"/>
        </w:rPr>
        <w:tab/>
        <w:t>+/- 0,5% del fondo de la escala</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Rango de medida de temperatura:0º a 70º C</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Precisión: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+/- 0,1 ºC</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Protección: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IP 68</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Alimentación: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12-30 Vcc</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Temperatura de operación:</w:t>
      </w:r>
      <w:r>
        <w:rPr>
          <w:rFonts w:ascii="Arial" w:hAnsi="Arial" w:cs="Arial"/>
        </w:rPr>
        <w:tab/>
      </w:r>
      <w:r>
        <w:rPr>
          <w:rFonts w:ascii="Arial" w:hAnsi="Arial" w:cs="Arial"/>
        </w:rPr>
        <w:tab/>
        <w:t>Aire: -40ºC a 60ºC. Medio a 0ºC a º60</w:t>
      </w:r>
    </w:p>
    <w:p w:rsidR="00C7085E" w:rsidRDefault="00C7085E" w:rsidP="00B71B1A">
      <w:pPr>
        <w:widowControl/>
        <w:numPr>
          <w:ilvl w:val="0"/>
          <w:numId w:val="8"/>
        </w:numPr>
        <w:suppressAutoHyphens/>
        <w:spacing w:before="120" w:after="240" w:line="276" w:lineRule="auto"/>
        <w:ind w:right="-285"/>
      </w:pPr>
      <w:r>
        <w:t>Convertidor:</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 xml:space="preserve">Salida: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4-20 mA</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Alimentación: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85-264 Vca, +10% - 15%, 50/60 Hz, 5VA</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Pantalla: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LCD alfanumérica</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Protección: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IP 67</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rPr>
      </w:pPr>
      <w:bookmarkStart w:id="853" w:name="_Toc448741525"/>
      <w:r>
        <w:t>Equipamiento de medida de temperatura</w:t>
      </w:r>
      <w:bookmarkEnd w:id="853"/>
    </w:p>
    <w:p w:rsidR="00C7085E" w:rsidRDefault="00C7085E" w:rsidP="00B71B1A">
      <w:pPr>
        <w:keepNext/>
        <w:keepLines/>
        <w:spacing w:before="120" w:after="240" w:line="276" w:lineRule="auto"/>
        <w:ind w:right="-285"/>
      </w:pPr>
      <w:r>
        <w:t>Estará constituido por un sensor o sonda, un convertidor y un indicador local.</w:t>
      </w:r>
    </w:p>
    <w:p w:rsidR="00C7085E" w:rsidRDefault="00C7085E" w:rsidP="00B71B1A">
      <w:pPr>
        <w:widowControl/>
        <w:numPr>
          <w:ilvl w:val="0"/>
          <w:numId w:val="8"/>
        </w:numPr>
        <w:spacing w:before="120" w:after="240" w:line="276" w:lineRule="auto"/>
        <w:ind w:right="-285"/>
      </w:pPr>
      <w:r>
        <w:t>Sensor tipo Pt 100 con conexión roscada ½</w:t>
      </w:r>
      <w:proofErr w:type="gramStart"/>
      <w:r>
        <w:t>“ gas</w:t>
      </w:r>
      <w:proofErr w:type="gramEnd"/>
      <w:r>
        <w:t>.</w:t>
      </w:r>
    </w:p>
    <w:p w:rsidR="00C7085E" w:rsidRDefault="00C7085E" w:rsidP="00B71B1A">
      <w:pPr>
        <w:widowControl/>
        <w:numPr>
          <w:ilvl w:val="0"/>
          <w:numId w:val="8"/>
        </w:numPr>
        <w:spacing w:before="120" w:after="240" w:line="276" w:lineRule="auto"/>
        <w:ind w:right="-285"/>
      </w:pPr>
      <w:r>
        <w:t>Convertidor</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lastRenderedPageBreak/>
        <w:t>Entrada:</w:t>
      </w:r>
      <w:r>
        <w:rPr>
          <w:rFonts w:ascii="Arial" w:hAnsi="Arial" w:cs="Arial"/>
        </w:rPr>
        <w:tab/>
      </w:r>
      <w:r>
        <w:rPr>
          <w:rFonts w:ascii="Arial" w:hAnsi="Arial" w:cs="Arial"/>
        </w:rPr>
        <w:tab/>
      </w:r>
      <w:r>
        <w:rPr>
          <w:rFonts w:ascii="Arial" w:hAnsi="Arial" w:cs="Arial"/>
        </w:rPr>
        <w:tab/>
        <w:t>Pt 100</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Salida:</w:t>
      </w:r>
      <w:r>
        <w:rPr>
          <w:rFonts w:ascii="Arial" w:hAnsi="Arial" w:cs="Arial"/>
        </w:rPr>
        <w:tab/>
      </w:r>
      <w:r>
        <w:rPr>
          <w:rFonts w:ascii="Arial" w:hAnsi="Arial" w:cs="Arial"/>
        </w:rPr>
        <w:tab/>
      </w:r>
      <w:r>
        <w:rPr>
          <w:rFonts w:ascii="Arial" w:hAnsi="Arial" w:cs="Arial"/>
        </w:rPr>
        <w:tab/>
        <w:t>4-20 mA</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Alimentación:</w:t>
      </w:r>
      <w:r>
        <w:rPr>
          <w:rFonts w:ascii="Arial" w:hAnsi="Arial" w:cs="Arial"/>
        </w:rPr>
        <w:tab/>
      </w:r>
      <w:r>
        <w:rPr>
          <w:rFonts w:ascii="Arial" w:hAnsi="Arial" w:cs="Arial"/>
        </w:rPr>
        <w:tab/>
        <w:t>24 Vcc</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Rango:</w:t>
      </w:r>
      <w:r>
        <w:rPr>
          <w:rFonts w:ascii="Arial" w:hAnsi="Arial" w:cs="Arial"/>
        </w:rPr>
        <w:tab/>
      </w:r>
      <w:r>
        <w:rPr>
          <w:rFonts w:ascii="Arial" w:hAnsi="Arial" w:cs="Arial"/>
        </w:rPr>
        <w:tab/>
      </w:r>
      <w:r>
        <w:rPr>
          <w:rFonts w:ascii="Arial" w:hAnsi="Arial" w:cs="Arial"/>
        </w:rPr>
        <w:tab/>
        <w:t>0º a 50 ºC</w:t>
      </w:r>
    </w:p>
    <w:p w:rsidR="00C7085E" w:rsidRDefault="00C7085E" w:rsidP="00B71B1A">
      <w:pPr>
        <w:widowControl/>
        <w:numPr>
          <w:ilvl w:val="0"/>
          <w:numId w:val="8"/>
        </w:numPr>
        <w:spacing w:before="120" w:after="240" w:line="276" w:lineRule="auto"/>
        <w:ind w:right="-285"/>
      </w:pPr>
      <w:r>
        <w:t>Indicador local</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Escala:</w:t>
      </w:r>
      <w:r>
        <w:rPr>
          <w:rFonts w:ascii="Arial" w:hAnsi="Arial" w:cs="Arial"/>
        </w:rPr>
        <w:tab/>
      </w:r>
      <w:r>
        <w:rPr>
          <w:rFonts w:ascii="Arial" w:hAnsi="Arial" w:cs="Arial"/>
        </w:rPr>
        <w:tab/>
      </w:r>
      <w:r>
        <w:rPr>
          <w:rFonts w:ascii="Arial" w:hAnsi="Arial" w:cs="Arial"/>
        </w:rPr>
        <w:tab/>
        <w:t>0-100% y/o 0ºC</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Alimentación:</w:t>
      </w:r>
      <w:r>
        <w:rPr>
          <w:rFonts w:ascii="Arial" w:hAnsi="Arial" w:cs="Arial"/>
        </w:rPr>
        <w:tab/>
      </w:r>
      <w:r>
        <w:rPr>
          <w:rFonts w:ascii="Arial" w:hAnsi="Arial" w:cs="Arial"/>
        </w:rPr>
        <w:tab/>
        <w:t>230 Vca 50 Hz</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Protección:</w:t>
      </w:r>
      <w:r>
        <w:rPr>
          <w:rFonts w:ascii="Arial" w:hAnsi="Arial" w:cs="Arial"/>
        </w:rPr>
        <w:tab/>
      </w:r>
      <w:r>
        <w:rPr>
          <w:rFonts w:ascii="Arial" w:hAnsi="Arial" w:cs="Arial"/>
        </w:rPr>
        <w:tab/>
        <w:t>IP 68</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Salida:</w:t>
      </w:r>
      <w:r>
        <w:rPr>
          <w:rFonts w:ascii="Arial" w:hAnsi="Arial" w:cs="Arial"/>
        </w:rPr>
        <w:tab/>
      </w:r>
      <w:r>
        <w:rPr>
          <w:rFonts w:ascii="Arial" w:hAnsi="Arial" w:cs="Arial"/>
        </w:rPr>
        <w:tab/>
      </w:r>
      <w:r>
        <w:rPr>
          <w:rFonts w:ascii="Arial" w:hAnsi="Arial" w:cs="Arial"/>
        </w:rPr>
        <w:tab/>
        <w:t>4-20 mA y/o Bus de campo seleccionado para sistema de control.</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rPr>
      </w:pPr>
      <w:bookmarkStart w:id="854" w:name="_Toc448741526"/>
      <w:r>
        <w:t>Equipamiento de medida de pH</w:t>
      </w:r>
      <w:bookmarkEnd w:id="854"/>
    </w:p>
    <w:p w:rsidR="00C7085E" w:rsidRDefault="00C7085E" w:rsidP="00B71B1A">
      <w:pPr>
        <w:spacing w:before="120" w:after="240" w:line="276" w:lineRule="auto"/>
        <w:ind w:right="-285"/>
      </w:pPr>
      <w:r>
        <w:t>Estará constituido por un transmisor de señal y medida local y electrodos.</w:t>
      </w:r>
    </w:p>
    <w:p w:rsidR="00C7085E" w:rsidRDefault="00C7085E" w:rsidP="00B71B1A">
      <w:pPr>
        <w:widowControl/>
        <w:numPr>
          <w:ilvl w:val="0"/>
          <w:numId w:val="8"/>
        </w:numPr>
        <w:suppressAutoHyphens/>
        <w:spacing w:before="120" w:after="240" w:line="276" w:lineRule="auto"/>
        <w:ind w:right="-285"/>
      </w:pPr>
      <w:r>
        <w:t>Transmisor de señal y medida local</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Protección: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IP 67</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Alimentación: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230 Vca 50 Hz</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 xml:space="preserve">Temperatura de operación: </w:t>
      </w:r>
      <w:r>
        <w:rPr>
          <w:rFonts w:ascii="Arial" w:hAnsi="Arial" w:cs="Arial"/>
        </w:rPr>
        <w:tab/>
        <w:t>-10ºC a 55 ºC</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Medida de pH</w:t>
      </w:r>
    </w:p>
    <w:p w:rsidR="00C7085E" w:rsidRDefault="00C7085E" w:rsidP="00B71B1A">
      <w:pPr>
        <w:spacing w:before="120" w:after="240" w:line="276" w:lineRule="auto"/>
        <w:ind w:left="709" w:right="-285" w:firstLine="709"/>
        <w:rPr>
          <w:rFonts w:cs="Arial"/>
        </w:rPr>
      </w:pPr>
      <w:r>
        <w:rPr>
          <w:rFonts w:cs="Arial"/>
        </w:rPr>
        <w:t>- Referencia de temperatura:</w:t>
      </w:r>
      <w:r>
        <w:rPr>
          <w:rFonts w:cs="Arial"/>
        </w:rPr>
        <w:tab/>
        <w:t>+25ºC</w:t>
      </w:r>
    </w:p>
    <w:p w:rsidR="00C7085E" w:rsidRDefault="00C7085E" w:rsidP="00B71B1A">
      <w:pPr>
        <w:spacing w:before="120" w:after="240" w:line="276" w:lineRule="auto"/>
        <w:ind w:left="709" w:right="-285" w:firstLine="709"/>
        <w:rPr>
          <w:rFonts w:cs="Arial"/>
        </w:rPr>
      </w:pPr>
      <w:r>
        <w:rPr>
          <w:rFonts w:cs="Arial"/>
        </w:rPr>
        <w:t>- Rango de medida:</w:t>
      </w:r>
      <w:r>
        <w:rPr>
          <w:rFonts w:cs="Arial"/>
        </w:rPr>
        <w:tab/>
      </w:r>
      <w:r>
        <w:rPr>
          <w:rFonts w:cs="Arial"/>
        </w:rPr>
        <w:tab/>
      </w:r>
      <w:r>
        <w:rPr>
          <w:rFonts w:cs="Arial"/>
        </w:rPr>
        <w:tab/>
        <w:t>0-14</w:t>
      </w:r>
    </w:p>
    <w:p w:rsidR="00C7085E" w:rsidRDefault="00C7085E" w:rsidP="00B71B1A">
      <w:pPr>
        <w:spacing w:before="120" w:after="240" w:line="276" w:lineRule="auto"/>
        <w:ind w:left="709" w:right="-285" w:firstLine="709"/>
        <w:rPr>
          <w:rFonts w:cs="Arial"/>
        </w:rPr>
      </w:pPr>
      <w:r>
        <w:rPr>
          <w:rFonts w:cs="Arial"/>
        </w:rPr>
        <w:t>- Resolución:</w:t>
      </w:r>
      <w:r>
        <w:rPr>
          <w:rFonts w:cs="Arial"/>
        </w:rPr>
        <w:tab/>
      </w:r>
      <w:r>
        <w:rPr>
          <w:rFonts w:cs="Arial"/>
        </w:rPr>
        <w:tab/>
      </w:r>
      <w:r>
        <w:rPr>
          <w:rFonts w:cs="Arial"/>
        </w:rPr>
        <w:tab/>
      </w:r>
      <w:r>
        <w:rPr>
          <w:rFonts w:cs="Arial"/>
        </w:rPr>
        <w:tab/>
      </w:r>
      <w:r>
        <w:rPr>
          <w:rFonts w:cs="Arial"/>
        </w:rPr>
        <w:tab/>
        <w:t>pH 0,01</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Medida de temperatura</w:t>
      </w:r>
    </w:p>
    <w:p w:rsidR="00C7085E" w:rsidRDefault="00C7085E" w:rsidP="00B71B1A">
      <w:pPr>
        <w:spacing w:before="120" w:after="240" w:line="276" w:lineRule="auto"/>
        <w:ind w:left="709" w:right="-285" w:firstLine="709"/>
        <w:rPr>
          <w:rFonts w:cs="Arial"/>
        </w:rPr>
      </w:pPr>
      <w:r>
        <w:rPr>
          <w:rFonts w:cs="Arial"/>
        </w:rPr>
        <w:t>- Sensor:</w:t>
      </w:r>
      <w:r>
        <w:rPr>
          <w:rFonts w:cs="Arial"/>
        </w:rPr>
        <w:tab/>
      </w:r>
      <w:r>
        <w:rPr>
          <w:rFonts w:cs="Arial"/>
        </w:rPr>
        <w:tab/>
      </w:r>
      <w:r>
        <w:rPr>
          <w:rFonts w:cs="Arial"/>
        </w:rPr>
        <w:tab/>
      </w:r>
      <w:r>
        <w:rPr>
          <w:rFonts w:cs="Arial"/>
        </w:rPr>
        <w:tab/>
      </w:r>
      <w:r>
        <w:rPr>
          <w:rFonts w:cs="Arial"/>
        </w:rPr>
        <w:tab/>
      </w:r>
      <w:r>
        <w:rPr>
          <w:rFonts w:cs="Arial"/>
        </w:rPr>
        <w:tab/>
        <w:t>Pt 100</w:t>
      </w:r>
    </w:p>
    <w:p w:rsidR="00C7085E" w:rsidRDefault="00C7085E" w:rsidP="00B71B1A">
      <w:pPr>
        <w:spacing w:before="120" w:after="240" w:line="276" w:lineRule="auto"/>
        <w:ind w:left="709" w:right="-285" w:firstLine="709"/>
        <w:rPr>
          <w:rFonts w:cs="Arial"/>
        </w:rPr>
      </w:pPr>
      <w:r>
        <w:rPr>
          <w:rFonts w:cs="Arial"/>
        </w:rPr>
        <w:t xml:space="preserve">- Rango de medida: </w:t>
      </w:r>
      <w:r>
        <w:rPr>
          <w:rFonts w:cs="Arial"/>
        </w:rPr>
        <w:tab/>
      </w:r>
      <w:r>
        <w:rPr>
          <w:rFonts w:cs="Arial"/>
        </w:rPr>
        <w:tab/>
      </w:r>
      <w:r>
        <w:rPr>
          <w:rFonts w:cs="Arial"/>
        </w:rPr>
        <w:tab/>
        <w:t>- 50ºC a +150ºC</w:t>
      </w:r>
    </w:p>
    <w:p w:rsidR="00C7085E" w:rsidRDefault="00C7085E" w:rsidP="00B71B1A">
      <w:pPr>
        <w:spacing w:before="120" w:after="240" w:line="276" w:lineRule="auto"/>
        <w:ind w:left="709" w:right="-285" w:firstLine="709"/>
        <w:rPr>
          <w:rFonts w:cs="Arial"/>
        </w:rPr>
      </w:pPr>
      <w:r>
        <w:rPr>
          <w:rFonts w:cs="Arial"/>
        </w:rPr>
        <w:t>- Resolución:</w:t>
      </w:r>
      <w:r>
        <w:rPr>
          <w:rFonts w:cs="Arial"/>
        </w:rPr>
        <w:tab/>
      </w:r>
      <w:r>
        <w:rPr>
          <w:rFonts w:cs="Arial"/>
        </w:rPr>
        <w:tab/>
      </w:r>
      <w:r>
        <w:rPr>
          <w:rFonts w:cs="Arial"/>
        </w:rPr>
        <w:tab/>
      </w:r>
      <w:r>
        <w:rPr>
          <w:rFonts w:cs="Arial"/>
        </w:rPr>
        <w:tab/>
      </w:r>
      <w:r>
        <w:rPr>
          <w:rFonts w:cs="Arial"/>
        </w:rPr>
        <w:tab/>
        <w:t>0,1ºC</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Conexiones eléctricas de entrada de los electrodos y la zona de temperatura y salida de pH y temperatura con separación galvánica y/o bus de campo seleccionado para el sistema de control.</w:t>
      </w:r>
    </w:p>
    <w:p w:rsidR="00C7085E" w:rsidRDefault="00C7085E" w:rsidP="00B71B1A">
      <w:pPr>
        <w:pStyle w:val="Prrafodelista"/>
        <w:numPr>
          <w:ilvl w:val="0"/>
          <w:numId w:val="33"/>
        </w:numPr>
        <w:autoSpaceDE w:val="0"/>
        <w:autoSpaceDN w:val="0"/>
        <w:adjustRightInd w:val="0"/>
        <w:spacing w:before="120" w:after="240"/>
        <w:ind w:left="1434" w:right="-285" w:hanging="357"/>
        <w:rPr>
          <w:rFonts w:ascii="Arial" w:hAnsi="Arial" w:cs="Arial"/>
        </w:rPr>
      </w:pPr>
      <w:r>
        <w:rPr>
          <w:rFonts w:ascii="Arial" w:hAnsi="Arial" w:cs="Arial"/>
        </w:rPr>
        <w:t>Sonda de inmersión de 1630 mm de longitud total y de inmersión hasta 1400 mm.</w:t>
      </w:r>
    </w:p>
    <w:p w:rsidR="00C7085E" w:rsidRDefault="00C7085E" w:rsidP="00B71B1A">
      <w:pPr>
        <w:keepNext/>
        <w:keepLines/>
        <w:widowControl/>
        <w:numPr>
          <w:ilvl w:val="0"/>
          <w:numId w:val="8"/>
        </w:numPr>
        <w:spacing w:before="120" w:after="240" w:line="276" w:lineRule="auto"/>
        <w:ind w:right="-285"/>
      </w:pPr>
      <w:r>
        <w:t>Electrodos</w:t>
      </w:r>
    </w:p>
    <w:p w:rsidR="00C7085E" w:rsidRDefault="00C7085E" w:rsidP="00B71B1A">
      <w:pPr>
        <w:pStyle w:val="Prrafodelista"/>
        <w:keepNext/>
        <w:keepLines/>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Rango de medida de pH:</w:t>
      </w:r>
      <w:r>
        <w:rPr>
          <w:rFonts w:ascii="Arial" w:hAnsi="Arial" w:cs="Arial"/>
        </w:rPr>
        <w:tab/>
      </w:r>
      <w:r>
        <w:rPr>
          <w:rFonts w:ascii="Arial" w:hAnsi="Arial" w:cs="Arial"/>
        </w:rPr>
        <w:tab/>
        <w:t>0 - 14</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Rango de temperatura:</w:t>
      </w:r>
      <w:r>
        <w:rPr>
          <w:rFonts w:ascii="Arial" w:hAnsi="Arial" w:cs="Arial"/>
        </w:rPr>
        <w:tab/>
      </w:r>
      <w:r>
        <w:rPr>
          <w:rFonts w:ascii="Arial" w:hAnsi="Arial" w:cs="Arial"/>
        </w:rPr>
        <w:tab/>
        <w:t>Pt 100: 0 a 100ºC</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Protección del alojamiento:</w:t>
      </w:r>
      <w:r>
        <w:rPr>
          <w:rFonts w:ascii="Arial" w:hAnsi="Arial" w:cs="Arial"/>
        </w:rPr>
        <w:tab/>
        <w:t>IP68</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lastRenderedPageBreak/>
        <w:t>Sistema de limpieza de electrodos: tubo acoplado al cuerpo de la sonda con conexión superior e inferior con rociador dirigido a los electrodos.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rPr>
      </w:pPr>
      <w:bookmarkStart w:id="855" w:name="_Toc448741527"/>
      <w:r>
        <w:t>Equipamiento de medida de presión</w:t>
      </w:r>
      <w:bookmarkEnd w:id="855"/>
    </w:p>
    <w:p w:rsidR="00C7085E" w:rsidRDefault="00C7085E" w:rsidP="00B71B1A">
      <w:pPr>
        <w:keepNext/>
        <w:spacing w:before="120" w:after="240" w:line="276" w:lineRule="auto"/>
        <w:ind w:right="-285"/>
      </w:pPr>
      <w:r>
        <w:t>El medidor de presión tendrá las siguientes características:</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Protección: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IP 68</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Alimentación: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24 Vcc</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Temperatura de operación:</w:t>
      </w:r>
      <w:r>
        <w:rPr>
          <w:rFonts w:ascii="Arial" w:hAnsi="Arial" w:cs="Arial"/>
        </w:rPr>
        <w:tab/>
        <w:t>-20ºC a 100ºC</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Salida 4 mA y/o bus de campo seleccionado para el sistema de control</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rPr>
      </w:pPr>
      <w:bookmarkStart w:id="856" w:name="_Toc448741528"/>
      <w:r>
        <w:t>Equipamiento de medida de protección redox</w:t>
      </w:r>
      <w:bookmarkEnd w:id="856"/>
    </w:p>
    <w:p w:rsidR="00C7085E" w:rsidRDefault="00C7085E" w:rsidP="00B71B1A">
      <w:pPr>
        <w:spacing w:before="120" w:after="240" w:line="276" w:lineRule="auto"/>
        <w:ind w:right="-285"/>
      </w:pPr>
      <w:r>
        <w:t>Estará constituido por un sensor o sonda y un transmisor.</w:t>
      </w:r>
    </w:p>
    <w:p w:rsidR="00C7085E" w:rsidRDefault="00C7085E" w:rsidP="00B71B1A">
      <w:pPr>
        <w:widowControl/>
        <w:numPr>
          <w:ilvl w:val="0"/>
          <w:numId w:val="8"/>
        </w:numPr>
        <w:spacing w:before="120" w:after="240" w:line="276" w:lineRule="auto"/>
        <w:ind w:right="-285"/>
      </w:pPr>
      <w:r>
        <w:t>Sensor tipo inmersión</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 xml:space="preserve">Temperatura de operación: </w:t>
      </w:r>
      <w:r>
        <w:rPr>
          <w:rFonts w:ascii="Arial" w:hAnsi="Arial" w:cs="Arial"/>
        </w:rPr>
        <w:tab/>
        <w:t>0ºC a 105ºC</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 xml:space="preserve">Rango de medida: </w:t>
      </w:r>
      <w:r>
        <w:rPr>
          <w:rFonts w:ascii="Arial" w:hAnsi="Arial" w:cs="Arial"/>
        </w:rPr>
        <w:tab/>
      </w:r>
      <w:r>
        <w:rPr>
          <w:rFonts w:ascii="Arial" w:hAnsi="Arial" w:cs="Arial"/>
        </w:rPr>
        <w:tab/>
      </w:r>
      <w:r>
        <w:rPr>
          <w:rFonts w:ascii="Arial" w:hAnsi="Arial" w:cs="Arial"/>
        </w:rPr>
        <w:tab/>
        <w:t>-1.500 a 1.500 mV</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Longitud mínima pértiga de inmersión: 2 m</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Longitud mínima cable sensor-transmisor: 10 m</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 xml:space="preserve">Conexión del sensor roscado: </w:t>
      </w:r>
      <w:r>
        <w:rPr>
          <w:rFonts w:ascii="Arial" w:hAnsi="Arial" w:cs="Arial"/>
        </w:rPr>
        <w:tab/>
        <w:t>1”</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Electrodo de referencia incluido</w:t>
      </w:r>
    </w:p>
    <w:p w:rsidR="00C7085E" w:rsidRDefault="00C7085E" w:rsidP="00B71B1A">
      <w:pPr>
        <w:widowControl/>
        <w:numPr>
          <w:ilvl w:val="0"/>
          <w:numId w:val="8"/>
        </w:numPr>
        <w:spacing w:before="120" w:after="240" w:line="276" w:lineRule="auto"/>
        <w:ind w:right="-285"/>
      </w:pPr>
      <w:r>
        <w:t>Transmisor</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Canales: mínimo 2. Ampliables y configurables</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Precisión: igual o mayor a 1 mV</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Protección: IP 67</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Alimentación 230 Vca 50 Hz</w:t>
      </w:r>
    </w:p>
    <w:p w:rsidR="00C7085E" w:rsidRDefault="00C7085E" w:rsidP="00B71B1A">
      <w:pPr>
        <w:pStyle w:val="Prrafodelista"/>
        <w:numPr>
          <w:ilvl w:val="0"/>
          <w:numId w:val="33"/>
        </w:numPr>
        <w:suppressAutoHyphens w:val="0"/>
        <w:autoSpaceDE w:val="0"/>
        <w:autoSpaceDN w:val="0"/>
        <w:adjustRightInd w:val="0"/>
        <w:spacing w:before="120" w:after="240"/>
        <w:ind w:left="1434" w:right="-285" w:hanging="357"/>
        <w:rPr>
          <w:rFonts w:ascii="Arial" w:hAnsi="Arial" w:cs="Arial"/>
        </w:rPr>
      </w:pPr>
      <w:r>
        <w:rPr>
          <w:rFonts w:ascii="Arial" w:hAnsi="Arial" w:cs="Arial"/>
        </w:rPr>
        <w:t>Salida 4 mA y/o bus de campo seleccionado para el sistema de control</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rPr>
          <w:rFonts w:cs="Arial Negrita"/>
        </w:rPr>
      </w:pPr>
      <w:bookmarkStart w:id="857" w:name="_Toc414022136"/>
      <w:bookmarkStart w:id="858" w:name="_Toc402443204"/>
      <w:bookmarkStart w:id="859" w:name="_Toc448741529"/>
      <w:r>
        <w:t>Cableado de instrumentación</w:t>
      </w:r>
      <w:bookmarkEnd w:id="857"/>
      <w:bookmarkEnd w:id="858"/>
      <w:bookmarkEnd w:id="859"/>
    </w:p>
    <w:p w:rsidR="00C7085E" w:rsidRDefault="00C7085E" w:rsidP="00B71B1A">
      <w:pPr>
        <w:spacing w:before="120" w:after="240" w:line="276" w:lineRule="auto"/>
        <w:ind w:right="-285"/>
      </w:pPr>
      <w:r>
        <w:t>Corresponderá a la denominación ROV-K 0,6/1 KV según UNE 21123-2: “</w:t>
      </w:r>
      <w:r>
        <w:rPr>
          <w:i/>
        </w:rPr>
        <w:t>Cables eléctricos de utilización industrial de tensión asignada 0,6/1 kV. Parte 2: Cables con aislamiento de polietileno reticulado y cubierta de policloruro de vinilo</w:t>
      </w:r>
      <w:r>
        <w:t>”.</w:t>
      </w:r>
    </w:p>
    <w:p w:rsidR="00C7085E" w:rsidRDefault="00C7085E" w:rsidP="00B71B1A">
      <w:pPr>
        <w:spacing w:before="120" w:after="240" w:line="276" w:lineRule="auto"/>
        <w:ind w:right="-285"/>
      </w:pPr>
      <w:r>
        <w:t>Se procederá a la reducción de perturbaciones mediante pantalla contra interferencias externas, formada por trenza de hilos de cobre electrolítico recocido, aislamiento de polietileno reticulado (XLPE) de 0,7 mm de espesor y cubierta de PVC.</w:t>
      </w:r>
    </w:p>
    <w:p w:rsidR="00C7085E" w:rsidRDefault="00C7085E" w:rsidP="00B71B1A">
      <w:pPr>
        <w:pStyle w:val="Ttulo3"/>
        <w:widowControl/>
        <w:numPr>
          <w:ilvl w:val="2"/>
          <w:numId w:val="5"/>
        </w:numPr>
        <w:tabs>
          <w:tab w:val="left" w:pos="567"/>
        </w:tabs>
        <w:suppressAutoHyphens/>
        <w:snapToGrid w:val="0"/>
        <w:spacing w:before="120" w:after="240" w:line="276" w:lineRule="auto"/>
        <w:ind w:left="1701" w:right="-285" w:hanging="1701"/>
      </w:pPr>
      <w:bookmarkStart w:id="860" w:name="_Toc414022137"/>
      <w:bookmarkStart w:id="861" w:name="_Toc402443205"/>
      <w:bookmarkStart w:id="862" w:name="_Toc448741530"/>
      <w:r>
        <w:lastRenderedPageBreak/>
        <w:t>Totalizadores integrados</w:t>
      </w:r>
      <w:bookmarkEnd w:id="860"/>
      <w:bookmarkEnd w:id="861"/>
      <w:bookmarkEnd w:id="862"/>
    </w:p>
    <w:p w:rsidR="00C7085E" w:rsidRDefault="00C7085E" w:rsidP="00B71B1A">
      <w:pPr>
        <w:keepNext/>
        <w:spacing w:before="120" w:after="240" w:line="276" w:lineRule="auto"/>
        <w:ind w:right="-285"/>
      </w:pPr>
      <w:r>
        <w:t>Las variables integradas (impulsos) serán transmitidas al sistema de adquisición de datos. En caso de ser necesario, el autómata dispondrá de tarjeta de cuenta de impulsos.</w:t>
      </w:r>
    </w:p>
    <w:p w:rsidR="00534627" w:rsidRDefault="00534627" w:rsidP="00B71B1A">
      <w:pPr>
        <w:keepNext/>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63" w:name="_Toc414022138"/>
      <w:bookmarkStart w:id="864" w:name="_Toc402443206"/>
      <w:bookmarkStart w:id="865" w:name="_Toc448741531"/>
      <w:r>
        <w:t>Actuadores eléctricos multivuelta</w:t>
      </w:r>
      <w:bookmarkEnd w:id="863"/>
      <w:bookmarkEnd w:id="864"/>
      <w:bookmarkEnd w:id="865"/>
    </w:p>
    <w:tbl>
      <w:tblPr>
        <w:tblW w:w="5000" w:type="pct"/>
        <w:tblCellMar>
          <w:left w:w="70" w:type="dxa"/>
          <w:right w:w="70" w:type="dxa"/>
        </w:tblCellMar>
        <w:tblLook w:val="04A0" w:firstRow="1" w:lastRow="0" w:firstColumn="1" w:lastColumn="0" w:noHBand="0" w:noVBand="1"/>
      </w:tblPr>
      <w:tblGrid>
        <w:gridCol w:w="4740"/>
        <w:gridCol w:w="3904"/>
      </w:tblGrid>
      <w:tr w:rsidR="00C7085E" w:rsidTr="00C7085E">
        <w:trPr>
          <w:trHeight w:val="170"/>
        </w:trPr>
        <w:tc>
          <w:tcPr>
            <w:tcW w:w="2742" w:type="pct"/>
            <w:vAlign w:val="center"/>
            <w:hideMark/>
          </w:tcPr>
          <w:p w:rsidR="00C7085E" w:rsidRDefault="00C7085E" w:rsidP="00B71B1A">
            <w:pPr>
              <w:spacing w:before="120" w:after="240" w:line="276" w:lineRule="auto"/>
              <w:ind w:right="-285"/>
            </w:pPr>
            <w:r>
              <w:t>Tipo de servicio</w:t>
            </w:r>
          </w:p>
        </w:tc>
        <w:tc>
          <w:tcPr>
            <w:tcW w:w="2258" w:type="pct"/>
            <w:vAlign w:val="center"/>
            <w:hideMark/>
          </w:tcPr>
          <w:p w:rsidR="00C7085E" w:rsidRDefault="00C7085E" w:rsidP="00B71B1A">
            <w:pPr>
              <w:spacing w:before="120" w:after="240" w:line="276" w:lineRule="auto"/>
              <w:ind w:right="-285"/>
            </w:pPr>
            <w:r>
              <w:t>Con tiempo de actuación 2-15 min.</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Clase aislamiento motor</w:t>
            </w:r>
          </w:p>
        </w:tc>
        <w:tc>
          <w:tcPr>
            <w:tcW w:w="2258" w:type="pct"/>
            <w:vAlign w:val="center"/>
            <w:hideMark/>
          </w:tcPr>
          <w:p w:rsidR="00C7085E" w:rsidRDefault="00C7085E" w:rsidP="00B71B1A">
            <w:pPr>
              <w:spacing w:before="120" w:after="240" w:line="276" w:lineRule="auto"/>
              <w:ind w:right="-285"/>
            </w:pPr>
            <w:r>
              <w:t>F</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Tipo de protección</w:t>
            </w:r>
          </w:p>
        </w:tc>
        <w:tc>
          <w:tcPr>
            <w:tcW w:w="2258" w:type="pct"/>
            <w:vAlign w:val="center"/>
            <w:hideMark/>
          </w:tcPr>
          <w:p w:rsidR="00C7085E" w:rsidRDefault="00C7085E" w:rsidP="00B71B1A">
            <w:pPr>
              <w:spacing w:before="120" w:after="240" w:line="276" w:lineRule="auto"/>
              <w:ind w:right="-285"/>
            </w:pPr>
            <w:r>
              <w:t>IP 67 s/DIN 40 050/IEC 529</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Protección anticorrosión</w:t>
            </w:r>
          </w:p>
        </w:tc>
        <w:tc>
          <w:tcPr>
            <w:tcW w:w="2258" w:type="pct"/>
            <w:vAlign w:val="center"/>
            <w:hideMark/>
          </w:tcPr>
          <w:p w:rsidR="00C7085E" w:rsidRDefault="00C7085E" w:rsidP="00B71B1A">
            <w:pPr>
              <w:spacing w:before="120" w:after="240" w:line="276" w:lineRule="auto"/>
              <w:ind w:right="-285"/>
            </w:pPr>
            <w:r>
              <w:t>KN, estándar</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Pintura</w:t>
            </w:r>
          </w:p>
        </w:tc>
        <w:tc>
          <w:tcPr>
            <w:tcW w:w="2258" w:type="pct"/>
            <w:vAlign w:val="center"/>
            <w:hideMark/>
          </w:tcPr>
          <w:p w:rsidR="00C7085E" w:rsidRDefault="00C7085E" w:rsidP="00B71B1A">
            <w:pPr>
              <w:spacing w:before="120" w:after="240" w:line="276" w:lineRule="auto"/>
              <w:ind w:right="-285"/>
            </w:pPr>
            <w:r>
              <w:t>Dos componentes: hierro-mica</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Ajustes de parámetros del actuador</w:t>
            </w:r>
          </w:p>
        </w:tc>
        <w:tc>
          <w:tcPr>
            <w:tcW w:w="2258" w:type="pct"/>
            <w:vAlign w:val="center"/>
            <w:hideMark/>
          </w:tcPr>
          <w:p w:rsidR="00C7085E" w:rsidRDefault="00C7085E" w:rsidP="00B71B1A">
            <w:pPr>
              <w:spacing w:before="120" w:after="240" w:line="276" w:lineRule="auto"/>
              <w:ind w:right="-285"/>
            </w:pPr>
            <w:r>
              <w:t>No intrusivo</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Señalizador de posición y par</w:t>
            </w:r>
          </w:p>
        </w:tc>
        <w:tc>
          <w:tcPr>
            <w:tcW w:w="2258" w:type="pct"/>
            <w:vAlign w:val="center"/>
            <w:hideMark/>
          </w:tcPr>
          <w:p w:rsidR="00C7085E" w:rsidRDefault="00C7085E" w:rsidP="00B71B1A">
            <w:pPr>
              <w:spacing w:before="120" w:after="240" w:line="276" w:lineRule="auto"/>
              <w:ind w:right="-285"/>
            </w:pPr>
            <w:r>
              <w:t>Mediante transmisor magnético</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Reductor mecánico</w:t>
            </w:r>
          </w:p>
        </w:tc>
        <w:tc>
          <w:tcPr>
            <w:tcW w:w="2258" w:type="pct"/>
            <w:vAlign w:val="center"/>
            <w:hideMark/>
          </w:tcPr>
          <w:p w:rsidR="00C7085E" w:rsidRDefault="00C7085E" w:rsidP="00B71B1A">
            <w:pPr>
              <w:spacing w:before="120" w:after="240" w:line="276" w:lineRule="auto"/>
              <w:ind w:right="-285"/>
            </w:pPr>
            <w:r>
              <w:t>10-V, ajustable 1-500, con transmisor magnético</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Volante para servicio manual</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Interfaz paralelo</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Entradas analógicas/digitales (conexión de sensores)</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pStyle w:val="Prrafodelista"/>
              <w:numPr>
                <w:ilvl w:val="0"/>
                <w:numId w:val="11"/>
              </w:numPr>
              <w:spacing w:before="120" w:after="240"/>
              <w:ind w:right="-285"/>
              <w:rPr>
                <w:rFonts w:ascii="Arial" w:hAnsi="Arial" w:cs="Arial"/>
              </w:rPr>
            </w:pPr>
            <w:r>
              <w:rPr>
                <w:rFonts w:ascii="Arial" w:hAnsi="Arial" w:cs="Arial"/>
              </w:rPr>
              <w:t>EA de control</w:t>
            </w:r>
          </w:p>
        </w:tc>
        <w:tc>
          <w:tcPr>
            <w:tcW w:w="2258" w:type="pct"/>
            <w:vMerge w:val="restart"/>
            <w:vAlign w:val="center"/>
            <w:hideMark/>
          </w:tcPr>
          <w:p w:rsidR="00C7085E" w:rsidRDefault="00C7085E" w:rsidP="00B71B1A">
            <w:pPr>
              <w:spacing w:before="120" w:after="240" w:line="276" w:lineRule="auto"/>
              <w:ind w:right="-285"/>
              <w:rPr>
                <w:rFonts w:cs="Arial"/>
              </w:rPr>
            </w:pPr>
            <w:r>
              <w:rPr>
                <w:rFonts w:cs="Arial"/>
              </w:rPr>
              <w:t>SÍ</w:t>
            </w:r>
          </w:p>
        </w:tc>
      </w:tr>
      <w:tr w:rsidR="00C7085E" w:rsidTr="00C7085E">
        <w:trPr>
          <w:trHeight w:val="170"/>
        </w:trPr>
        <w:tc>
          <w:tcPr>
            <w:tcW w:w="2742" w:type="pct"/>
            <w:vAlign w:val="center"/>
            <w:hideMark/>
          </w:tcPr>
          <w:p w:rsidR="00C7085E" w:rsidRDefault="00C7085E" w:rsidP="00B71B1A">
            <w:pPr>
              <w:pStyle w:val="Prrafodelista"/>
              <w:numPr>
                <w:ilvl w:val="0"/>
                <w:numId w:val="11"/>
              </w:numPr>
              <w:spacing w:before="120" w:after="240"/>
              <w:ind w:right="-285"/>
              <w:rPr>
                <w:rFonts w:ascii="Arial" w:hAnsi="Arial" w:cs="Arial"/>
              </w:rPr>
            </w:pPr>
            <w:r>
              <w:rPr>
                <w:rFonts w:ascii="Arial" w:hAnsi="Arial" w:cs="Arial"/>
              </w:rPr>
              <w:t>SA de posición</w:t>
            </w:r>
          </w:p>
          <w:p w:rsidR="00C7085E" w:rsidRDefault="00C7085E" w:rsidP="00B71B1A">
            <w:pPr>
              <w:pStyle w:val="Prrafodelista"/>
              <w:numPr>
                <w:ilvl w:val="0"/>
                <w:numId w:val="11"/>
              </w:numPr>
              <w:spacing w:before="120" w:after="240"/>
              <w:ind w:right="-285"/>
              <w:rPr>
                <w:rFonts w:ascii="Arial" w:hAnsi="Arial" w:cs="Arial"/>
              </w:rPr>
            </w:pPr>
            <w:r>
              <w:rPr>
                <w:rFonts w:ascii="Arial" w:hAnsi="Arial" w:cs="Arial"/>
              </w:rPr>
              <w:t>SD totalmente abierto</w:t>
            </w:r>
          </w:p>
          <w:p w:rsidR="00C7085E" w:rsidRDefault="00C7085E" w:rsidP="00B71B1A">
            <w:pPr>
              <w:pStyle w:val="Prrafodelista"/>
              <w:numPr>
                <w:ilvl w:val="0"/>
                <w:numId w:val="11"/>
              </w:numPr>
              <w:spacing w:before="120" w:after="240"/>
              <w:ind w:right="-285"/>
              <w:rPr>
                <w:rFonts w:ascii="Arial" w:hAnsi="Arial" w:cs="Arial"/>
              </w:rPr>
            </w:pPr>
            <w:r>
              <w:rPr>
                <w:rFonts w:ascii="Arial" w:hAnsi="Arial" w:cs="Arial"/>
              </w:rPr>
              <w:t>SD totalmente cerrado</w:t>
            </w:r>
          </w:p>
        </w:tc>
        <w:tc>
          <w:tcPr>
            <w:tcW w:w="0" w:type="auto"/>
            <w:vMerge/>
            <w:vAlign w:val="center"/>
            <w:hideMark/>
          </w:tcPr>
          <w:p w:rsidR="00C7085E" w:rsidRDefault="00C7085E" w:rsidP="00B71B1A">
            <w:pPr>
              <w:spacing w:before="120" w:after="240" w:line="276" w:lineRule="auto"/>
              <w:ind w:right="-285"/>
              <w:jc w:val="left"/>
              <w:rPr>
                <w:rFonts w:cs="Arial"/>
                <w:lang w:val="es-ES_tradnl" w:eastAsia="es-ES_tradnl"/>
              </w:rPr>
            </w:pP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Con el protocolo seleccionado para el sistema de control de la instalación</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lastRenderedPageBreak/>
              <w:t>Pantalla LC con texto normal (iluminada)</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 xml:space="preserve">Lámparas indicadoras </w:t>
            </w:r>
          </w:p>
        </w:tc>
        <w:tc>
          <w:tcPr>
            <w:tcW w:w="2258" w:type="pct"/>
            <w:vAlign w:val="center"/>
            <w:hideMark/>
          </w:tcPr>
          <w:p w:rsidR="00C7085E" w:rsidRDefault="00C7085E" w:rsidP="00B71B1A">
            <w:pPr>
              <w:spacing w:before="120" w:after="240" w:line="276" w:lineRule="auto"/>
              <w:ind w:right="-285"/>
            </w:pPr>
            <w:r>
              <w:t xml:space="preserve">Sí </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br w:type="page"/>
              <w:t>Selector bloqueable</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Corrección automática de fase</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5000" w:type="pct"/>
            <w:gridSpan w:val="2"/>
            <w:vAlign w:val="center"/>
            <w:hideMark/>
          </w:tcPr>
          <w:p w:rsidR="00C7085E" w:rsidRDefault="00C7085E" w:rsidP="00B71B1A">
            <w:pPr>
              <w:spacing w:before="120" w:after="240" w:line="276" w:lineRule="auto"/>
              <w:ind w:right="-285"/>
              <w:rPr>
                <w:b/>
              </w:rPr>
            </w:pPr>
            <w:r>
              <w:rPr>
                <w:b/>
              </w:rPr>
              <w:t>Funciones/Programación</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Control</w:t>
            </w:r>
          </w:p>
        </w:tc>
        <w:tc>
          <w:tcPr>
            <w:tcW w:w="2258" w:type="pct"/>
            <w:vAlign w:val="center"/>
            <w:hideMark/>
          </w:tcPr>
          <w:p w:rsidR="00C7085E" w:rsidRDefault="00C7085E" w:rsidP="00B71B1A">
            <w:pPr>
              <w:spacing w:before="120" w:after="240" w:line="276" w:lineRule="auto"/>
              <w:ind w:right="-285"/>
            </w:pPr>
            <w:r>
              <w:t>ABRIR-PARAR-CERRAR</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Control valor nominal</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Modo por pasos</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Posiciones intermedias</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Entrada emergencia</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Protección motor (by-pass)</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Limitador de par (by-pass)</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Comportamiento a fallo de señal/comunicación</w:t>
            </w:r>
          </w:p>
        </w:tc>
        <w:tc>
          <w:tcPr>
            <w:tcW w:w="2258" w:type="pct"/>
            <w:vAlign w:val="center"/>
            <w:hideMark/>
          </w:tcPr>
          <w:p w:rsidR="00C7085E" w:rsidRDefault="00C7085E" w:rsidP="00B71B1A">
            <w:pPr>
              <w:spacing w:before="120" w:after="240" w:line="276" w:lineRule="auto"/>
              <w:ind w:right="-285"/>
            </w:pPr>
            <w:r>
              <w:t>Sí</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Programación</w:t>
            </w:r>
          </w:p>
        </w:tc>
        <w:tc>
          <w:tcPr>
            <w:tcW w:w="2258" w:type="pct"/>
            <w:vAlign w:val="center"/>
            <w:hideMark/>
          </w:tcPr>
          <w:p w:rsidR="00C7085E" w:rsidRDefault="00C7085E" w:rsidP="00B71B1A">
            <w:pPr>
              <w:spacing w:before="120" w:after="240" w:line="276" w:lineRule="auto"/>
              <w:ind w:right="-285"/>
            </w:pPr>
            <w:r>
              <w:t>Con el mando local.</w:t>
            </w:r>
          </w:p>
          <w:p w:rsidR="00C7085E" w:rsidRDefault="00C7085E" w:rsidP="00B71B1A">
            <w:pPr>
              <w:spacing w:before="120" w:after="240" w:line="276" w:lineRule="auto"/>
              <w:ind w:right="-285"/>
            </w:pPr>
            <w:r>
              <w:t>Con dispositivo de programación (p.ej. PC portátil).</w:t>
            </w:r>
          </w:p>
          <w:p w:rsidR="00C7085E" w:rsidRDefault="00C7085E" w:rsidP="00B71B1A">
            <w:pPr>
              <w:spacing w:before="120" w:after="240" w:line="276" w:lineRule="auto"/>
              <w:ind w:right="-285"/>
            </w:pPr>
            <w:r>
              <w:t>Con la estación de control.</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Señales/Diagnosis</w:t>
            </w:r>
          </w:p>
        </w:tc>
        <w:tc>
          <w:tcPr>
            <w:tcW w:w="2258" w:type="pct"/>
            <w:vAlign w:val="center"/>
            <w:hideMark/>
          </w:tcPr>
          <w:p w:rsidR="00C7085E" w:rsidRDefault="00C7085E" w:rsidP="00B71B1A">
            <w:pPr>
              <w:spacing w:before="120" w:after="240" w:line="276" w:lineRule="auto"/>
              <w:ind w:right="-285"/>
            </w:pPr>
            <w:r>
              <w:t>Señal colectiva de fallo (programable).</w:t>
            </w:r>
          </w:p>
          <w:p w:rsidR="00C7085E" w:rsidRDefault="00C7085E" w:rsidP="00B71B1A">
            <w:pPr>
              <w:spacing w:before="120" w:after="240" w:line="276" w:lineRule="auto"/>
              <w:ind w:right="-285"/>
            </w:pPr>
            <w:r>
              <w:t>Señalización de posiciones finales.</w:t>
            </w:r>
          </w:p>
          <w:p w:rsidR="00C7085E" w:rsidRDefault="00C7085E" w:rsidP="00B71B1A">
            <w:pPr>
              <w:spacing w:before="120" w:after="240" w:line="276" w:lineRule="auto"/>
              <w:ind w:right="-285"/>
            </w:pPr>
            <w:r>
              <w:t>Indicación de marcha.</w:t>
            </w:r>
          </w:p>
        </w:tc>
      </w:tr>
      <w:tr w:rsidR="00C7085E" w:rsidTr="00C7085E">
        <w:trPr>
          <w:trHeight w:val="170"/>
        </w:trPr>
        <w:tc>
          <w:tcPr>
            <w:tcW w:w="2742" w:type="pct"/>
            <w:vAlign w:val="center"/>
            <w:hideMark/>
          </w:tcPr>
          <w:p w:rsidR="00C7085E" w:rsidRDefault="00C7085E" w:rsidP="00B71B1A">
            <w:pPr>
              <w:spacing w:before="120" w:after="240" w:line="276" w:lineRule="auto"/>
              <w:ind w:right="-285"/>
            </w:pPr>
            <w:r>
              <w:t>Relés de señalización programable</w:t>
            </w:r>
          </w:p>
        </w:tc>
        <w:tc>
          <w:tcPr>
            <w:tcW w:w="2258" w:type="pct"/>
            <w:vAlign w:val="center"/>
            <w:hideMark/>
          </w:tcPr>
          <w:p w:rsidR="00C7085E" w:rsidRDefault="00C7085E" w:rsidP="00B71B1A">
            <w:pPr>
              <w:spacing w:before="120" w:after="240" w:line="276" w:lineRule="auto"/>
              <w:ind w:right="-285"/>
            </w:pPr>
            <w:r>
              <w:t>Par de desconexión alcanzado.</w:t>
            </w:r>
          </w:p>
          <w:p w:rsidR="00C7085E" w:rsidRDefault="00C7085E" w:rsidP="00B71B1A">
            <w:pPr>
              <w:spacing w:before="120" w:after="240" w:line="276" w:lineRule="auto"/>
              <w:ind w:right="-285"/>
            </w:pPr>
            <w:r>
              <w:t>Posición selector.</w:t>
            </w:r>
          </w:p>
          <w:p w:rsidR="00C7085E" w:rsidRDefault="00C7085E" w:rsidP="00B71B1A">
            <w:pPr>
              <w:spacing w:before="120" w:after="240" w:line="276" w:lineRule="auto"/>
              <w:ind w:right="-285"/>
            </w:pPr>
            <w:r>
              <w:lastRenderedPageBreak/>
              <w:t>Estado listo REMOTO.</w:t>
            </w:r>
          </w:p>
          <w:p w:rsidR="00C7085E" w:rsidRDefault="00C7085E" w:rsidP="00B71B1A">
            <w:pPr>
              <w:spacing w:before="120" w:after="240" w:line="276" w:lineRule="auto"/>
              <w:ind w:right="-285"/>
            </w:pPr>
            <w:r>
              <w:t>Indicación de posición.</w:t>
            </w:r>
          </w:p>
          <w:p w:rsidR="00C7085E" w:rsidRDefault="00C7085E" w:rsidP="00B71B1A">
            <w:pPr>
              <w:spacing w:before="120" w:after="240" w:line="276" w:lineRule="auto"/>
              <w:ind w:right="-285"/>
            </w:pPr>
            <w:r>
              <w:t>Funciones de vigilancia.</w:t>
            </w:r>
          </w:p>
          <w:p w:rsidR="00C7085E" w:rsidRDefault="00C7085E" w:rsidP="00B71B1A">
            <w:pPr>
              <w:spacing w:before="120" w:after="240" w:line="276" w:lineRule="auto"/>
              <w:ind w:right="-285"/>
            </w:pPr>
            <w:r>
              <w:t>Registro de datos de operación</w:t>
            </w:r>
          </w:p>
        </w:tc>
      </w:tr>
    </w:tbl>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66" w:name="_Toc414022139"/>
      <w:bookmarkStart w:id="867" w:name="_Toc448741532"/>
      <w:r>
        <w:lastRenderedPageBreak/>
        <w:t>Instalación a la intemperie</w:t>
      </w:r>
      <w:bookmarkEnd w:id="866"/>
      <w:bookmarkEnd w:id="867"/>
    </w:p>
    <w:p w:rsidR="00C7085E" w:rsidRDefault="00C7085E" w:rsidP="00B71B1A">
      <w:pPr>
        <w:spacing w:before="120" w:after="240" w:line="276" w:lineRule="auto"/>
        <w:ind w:right="-285"/>
      </w:pPr>
      <w:r>
        <w:t>En caso de instalación a la intemperie se deberán cumplir las siguientes condiciones:</w:t>
      </w:r>
    </w:p>
    <w:p w:rsidR="00C7085E" w:rsidRDefault="00C7085E" w:rsidP="00B71B1A">
      <w:pPr>
        <w:pStyle w:val="Prrafodelista"/>
        <w:numPr>
          <w:ilvl w:val="0"/>
          <w:numId w:val="34"/>
        </w:numPr>
        <w:autoSpaceDE w:val="0"/>
        <w:autoSpaceDN w:val="0"/>
        <w:adjustRightInd w:val="0"/>
        <w:spacing w:before="120" w:after="240"/>
        <w:ind w:left="714" w:right="-285" w:hanging="357"/>
        <w:rPr>
          <w:rFonts w:ascii="Arial" w:hAnsi="Arial" w:cs="Arial"/>
        </w:rPr>
      </w:pPr>
      <w:r>
        <w:rPr>
          <w:rFonts w:ascii="Arial" w:hAnsi="Arial" w:cs="Arial"/>
        </w:rPr>
        <w:t>Todo equipo dispondrá de un elemento de protección y seccionamiento bipolar tipo magnetotérmico instalado en el interior del armario del PLC.</w:t>
      </w:r>
    </w:p>
    <w:p w:rsidR="00C7085E" w:rsidRDefault="00C7085E" w:rsidP="00B71B1A">
      <w:pPr>
        <w:pStyle w:val="Prrafodelista"/>
        <w:numPr>
          <w:ilvl w:val="0"/>
          <w:numId w:val="35"/>
        </w:numPr>
        <w:autoSpaceDE w:val="0"/>
        <w:autoSpaceDN w:val="0"/>
        <w:adjustRightInd w:val="0"/>
        <w:spacing w:before="120" w:after="240"/>
        <w:ind w:left="714" w:right="-285" w:hanging="357"/>
        <w:rPr>
          <w:rFonts w:ascii="Arial" w:hAnsi="Arial" w:cs="Arial"/>
        </w:rPr>
      </w:pPr>
      <w:r>
        <w:rPr>
          <w:rFonts w:ascii="Arial" w:hAnsi="Arial" w:cs="Arial"/>
        </w:rPr>
        <w:t>Todos los equipos instalados en el exterior se montarán en soportes con tejadillo del tipo Canal de Isabel II Gestión.</w:t>
      </w:r>
    </w:p>
    <w:p w:rsidR="00C7085E" w:rsidRDefault="00C7085E" w:rsidP="00B71B1A">
      <w:pPr>
        <w:spacing w:before="120" w:after="240" w:line="276" w:lineRule="auto"/>
        <w:ind w:right="-285"/>
      </w:pPr>
      <w:r>
        <w:t>Se deberán tomar las siguientes medidas de protección y separación galvánica:</w:t>
      </w:r>
    </w:p>
    <w:p w:rsidR="00C7085E" w:rsidRDefault="00C7085E" w:rsidP="00B71B1A">
      <w:pPr>
        <w:pStyle w:val="Prrafodelista"/>
        <w:numPr>
          <w:ilvl w:val="0"/>
          <w:numId w:val="34"/>
        </w:numPr>
        <w:autoSpaceDE w:val="0"/>
        <w:autoSpaceDN w:val="0"/>
        <w:adjustRightInd w:val="0"/>
        <w:spacing w:before="120" w:after="240"/>
        <w:ind w:left="714" w:right="-285" w:hanging="357"/>
        <w:rPr>
          <w:rFonts w:ascii="Arial" w:hAnsi="Arial" w:cs="Arial"/>
        </w:rPr>
      </w:pPr>
      <w:r>
        <w:rPr>
          <w:rFonts w:ascii="Arial" w:hAnsi="Arial" w:cs="Arial"/>
        </w:rPr>
        <w:t>Todos los cables de señal de medidores serán provistos de separación mediante elementos activos con circuitos de entrada y salida independiente y fuente de alimentación única para ambas partes.</w:t>
      </w:r>
    </w:p>
    <w:p w:rsidR="00C7085E" w:rsidRDefault="00C7085E" w:rsidP="00B71B1A">
      <w:pPr>
        <w:pStyle w:val="Prrafodelista"/>
        <w:numPr>
          <w:ilvl w:val="0"/>
          <w:numId w:val="34"/>
        </w:numPr>
        <w:autoSpaceDE w:val="0"/>
        <w:autoSpaceDN w:val="0"/>
        <w:adjustRightInd w:val="0"/>
        <w:spacing w:before="120" w:after="240"/>
        <w:ind w:left="714" w:right="-285" w:hanging="357"/>
        <w:rPr>
          <w:rFonts w:ascii="Arial" w:hAnsi="Arial" w:cs="Arial"/>
        </w:rPr>
      </w:pPr>
      <w:bookmarkStart w:id="868" w:name="_Toc414022140"/>
      <w:r>
        <w:rPr>
          <w:rFonts w:ascii="Arial" w:hAnsi="Arial" w:cs="Arial"/>
        </w:rPr>
        <w:t>La alimentación de los equipos de instrumentación se efectuará a 24 Vcc o 24-230 Vca.</w:t>
      </w:r>
    </w:p>
    <w:p w:rsidR="00C7085E" w:rsidRPr="00894B2B" w:rsidRDefault="006D2B54" w:rsidP="00B71B1A">
      <w:pPr>
        <w:pStyle w:val="Ttulo2"/>
        <w:numPr>
          <w:ilvl w:val="1"/>
          <w:numId w:val="5"/>
        </w:numPr>
        <w:snapToGrid/>
        <w:spacing w:before="400" w:after="400" w:line="276" w:lineRule="auto"/>
        <w:ind w:left="0" w:right="-285"/>
        <w:rPr>
          <w:caps w:val="0"/>
        </w:rPr>
      </w:pPr>
      <w:bookmarkStart w:id="869" w:name="_Toc448741533"/>
      <w:r w:rsidRPr="006D2B54">
        <w:rPr>
          <w:caps w:val="0"/>
        </w:rPr>
        <w:t>AUTOMATIZACIÓN</w:t>
      </w:r>
      <w:bookmarkEnd w:id="868"/>
      <w:bookmarkEnd w:id="869"/>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70" w:name="_Toc414022141"/>
      <w:bookmarkStart w:id="871" w:name="_Toc448741534"/>
      <w:r>
        <w:t>Consideraciones generales</w:t>
      </w:r>
      <w:bookmarkEnd w:id="870"/>
      <w:bookmarkEnd w:id="871"/>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Control de calidad</w:t>
      </w:r>
    </w:p>
    <w:p w:rsidR="00C7085E" w:rsidRDefault="00C7085E" w:rsidP="00B71B1A">
      <w:pPr>
        <w:spacing w:before="120" w:after="240" w:line="276" w:lineRule="auto"/>
        <w:ind w:right="-285"/>
      </w:pPr>
      <w:r>
        <w:t>Este artículo es de aplicación a todos los equipos de instrumentación empleados para realizar el control de las instalaciones.</w:t>
      </w:r>
    </w:p>
    <w:p w:rsidR="00C7085E" w:rsidRDefault="00C7085E" w:rsidP="00B71B1A">
      <w:pPr>
        <w:spacing w:before="120" w:after="240" w:line="276" w:lineRule="auto"/>
        <w:ind w:right="-285"/>
      </w:pPr>
      <w:r>
        <w:t>El Adjudicatario deberá facilitar a la Dirección de Obra, las características de los equipos y los certificados que correspondan, a fin de comprobar que se cumplen los requisitos establecidos.</w:t>
      </w: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t>Medición y abono</w:t>
      </w:r>
    </w:p>
    <w:p w:rsidR="00C7085E" w:rsidRDefault="00C7085E" w:rsidP="00B71B1A">
      <w:pPr>
        <w:spacing w:before="120" w:after="240" w:line="276" w:lineRule="auto"/>
        <w:ind w:right="-285"/>
      </w:pPr>
      <w:r>
        <w:t>Los equipos se medirán por unidad (ud) realmente colocada y se abonarán al precio que corresponda, en función de sus características, que figuren en el Cuadro de Precios vigente de Canal de Isabel II Gestión.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72" w:name="_Toc403985725"/>
      <w:bookmarkStart w:id="873" w:name="_Toc403985727"/>
      <w:bookmarkStart w:id="874" w:name="_Toc414022142"/>
      <w:bookmarkStart w:id="875" w:name="_Toc448741535"/>
      <w:bookmarkEnd w:id="872"/>
      <w:bookmarkEnd w:id="873"/>
      <w:r>
        <w:t>Armarios</w:t>
      </w:r>
      <w:bookmarkEnd w:id="874"/>
      <w:bookmarkEnd w:id="875"/>
    </w:p>
    <w:p w:rsidR="00C7085E" w:rsidRDefault="00C7085E" w:rsidP="00B71B1A">
      <w:pPr>
        <w:spacing w:before="120" w:after="240" w:line="276" w:lineRule="auto"/>
        <w:ind w:right="-285"/>
      </w:pPr>
      <w:r>
        <w:t xml:space="preserve">Cada autómata se instalará dentro de un armario de doble cuerpo. Dicho armario dispondrá en su frontal de la correspondiente pantalla de control y visualización de datos </w:t>
      </w:r>
      <w:r>
        <w:lastRenderedPageBreak/>
        <w:t>del proceso HMI conectada con el Sistema de Control. Los armarios tendrán espacio de reserva disponible para una posible ampliación de los autómatas y resto de equipamiento para un 20%. En el interior del otro cuerpo se instalarán las protecciones, interruptores, fuentes de alimentación, relés de protección de señales, sistema redundante eléctrico, etc. El cableado de entradas y salidas se realizará mediante cables multipolares prefabricados con conectores en ambos extremos. Los elementos de interfaz serán unidades modulares con conexión para el cable multipolar en un extremo y bornas de presión por tornillo en el otro. En el caso de las salidas digitales, estos módulos incorporarán un relé separador por salida. El interfaz de las entradas se realizará mediante relés convencionales.</w:t>
      </w:r>
    </w:p>
    <w:p w:rsidR="00C7085E" w:rsidRDefault="00C7085E" w:rsidP="00B71B1A">
      <w:pPr>
        <w:spacing w:before="120" w:after="240" w:line="276" w:lineRule="auto"/>
        <w:ind w:right="-285"/>
      </w:pPr>
      <w:r>
        <w:t>El armario deberá disponer de extractor con filtro instalado en el techo y rejilla con filtro en la puerta plena y elemento calefactor.</w:t>
      </w:r>
    </w:p>
    <w:p w:rsidR="00C7085E" w:rsidRDefault="00C7085E" w:rsidP="00B71B1A">
      <w:pPr>
        <w:spacing w:before="120" w:after="240" w:line="276" w:lineRule="auto"/>
        <w:ind w:right="-285"/>
      </w:pPr>
      <w:r>
        <w:t>Todas las entradas digitales se alimentarán de una fuente de alimentación de potencia superior al 30% del consumo nominal requerido. Esta fuente estará basada en tecnología de conmutación e incorporará un filtro reductor de armónicos a la salida, así como elementos de protección de naturaleza electrónica por cortocircuito y/o sobrecarga.</w:t>
      </w:r>
    </w:p>
    <w:p w:rsidR="00C7085E" w:rsidRDefault="00C7085E" w:rsidP="00B71B1A">
      <w:pPr>
        <w:spacing w:before="120" w:after="240" w:line="276" w:lineRule="auto"/>
        <w:ind w:right="-285"/>
      </w:pPr>
      <w:r>
        <w:t>Las puestas a tierra de equipos, partes metálicas de la instalación y protecciones contra sobretensiones se conectarán a la barra de compensación de potencial de los armarios. Para equipos electrónicos (caso más desfavorable) la tensión residual deberá ser inferior a 1.500 V con respecto a tierra.</w:t>
      </w:r>
    </w:p>
    <w:p w:rsidR="00C7085E" w:rsidRDefault="00C7085E" w:rsidP="00B71B1A">
      <w:pPr>
        <w:spacing w:before="120" w:after="240" w:line="276" w:lineRule="auto"/>
        <w:ind w:right="-285"/>
        <w:rPr>
          <w:u w:val="single"/>
        </w:rPr>
      </w:pPr>
      <w:r>
        <w:rPr>
          <w:u w:val="single"/>
        </w:rPr>
        <w:t>Armario de variadores y arrancadores</w:t>
      </w:r>
    </w:p>
    <w:p w:rsidR="00C7085E" w:rsidRDefault="00C7085E" w:rsidP="00B71B1A">
      <w:pPr>
        <w:spacing w:before="120" w:after="240" w:line="276" w:lineRule="auto"/>
        <w:ind w:right="-285"/>
      </w:pPr>
      <w:r>
        <w:t>El arranque de las bombas, directo o con arrancadores será función de la potencia de las bombas a instalar. Si así se estima conveniente, podrán emplearse variadores de frecuencia para el arranque de las bombas en cualquier rango de potencias.</w:t>
      </w:r>
    </w:p>
    <w:p w:rsidR="00C7085E" w:rsidRDefault="00C7085E" w:rsidP="00B71B1A">
      <w:pPr>
        <w:spacing w:before="120" w:after="240" w:line="276" w:lineRule="auto"/>
        <w:ind w:right="-285"/>
      </w:pPr>
      <w:r>
        <w:t>En general, los variadores de velocidad electrónicos se instalarán en los siguientes casos:</w:t>
      </w:r>
    </w:p>
    <w:p w:rsidR="00C7085E" w:rsidRDefault="00C7085E" w:rsidP="00B71B1A">
      <w:pPr>
        <w:widowControl/>
        <w:numPr>
          <w:ilvl w:val="0"/>
          <w:numId w:val="12"/>
        </w:numPr>
        <w:spacing w:before="120" w:after="240" w:line="276" w:lineRule="auto"/>
        <w:ind w:left="714" w:right="-285" w:hanging="357"/>
      </w:pPr>
      <w:r>
        <w:t>Dosificación de reactivos.</w:t>
      </w:r>
    </w:p>
    <w:p w:rsidR="00C7085E" w:rsidRDefault="00C7085E" w:rsidP="00B71B1A">
      <w:pPr>
        <w:widowControl/>
        <w:numPr>
          <w:ilvl w:val="0"/>
          <w:numId w:val="12"/>
        </w:numPr>
        <w:spacing w:before="120" w:after="240" w:line="276" w:lineRule="auto"/>
        <w:ind w:left="714" w:right="-285" w:hanging="357"/>
      </w:pPr>
      <w:r>
        <w:t>En bombeos en los que se necesite una regulación del caudal.</w:t>
      </w:r>
    </w:p>
    <w:p w:rsidR="00C7085E" w:rsidRDefault="00C7085E" w:rsidP="00B71B1A">
      <w:pPr>
        <w:widowControl/>
        <w:numPr>
          <w:ilvl w:val="0"/>
          <w:numId w:val="12"/>
        </w:numPr>
        <w:spacing w:before="120" w:after="240" w:line="276" w:lineRule="auto"/>
        <w:ind w:left="714" w:right="-285" w:hanging="357"/>
      </w:pPr>
      <w:r>
        <w:t>Permeado y retrolavado, para mantener el caudal.</w:t>
      </w:r>
    </w:p>
    <w:p w:rsidR="00C7085E" w:rsidRDefault="00C7085E" w:rsidP="00B71B1A">
      <w:pPr>
        <w:widowControl/>
        <w:numPr>
          <w:ilvl w:val="0"/>
          <w:numId w:val="12"/>
        </w:numPr>
        <w:spacing w:before="120" w:after="240" w:line="276" w:lineRule="auto"/>
        <w:ind w:left="714" w:right="-285" w:hanging="357"/>
      </w:pPr>
      <w:r>
        <w:t>En centrífugas cuando no lo incorporen.</w:t>
      </w:r>
    </w:p>
    <w:p w:rsidR="00C7085E" w:rsidRDefault="00C7085E" w:rsidP="00B71B1A">
      <w:pPr>
        <w:widowControl/>
        <w:numPr>
          <w:ilvl w:val="0"/>
          <w:numId w:val="12"/>
        </w:numPr>
        <w:spacing w:before="120" w:after="240" w:line="276" w:lineRule="auto"/>
        <w:ind w:left="714" w:right="-285" w:hanging="357"/>
      </w:pPr>
      <w:r>
        <w:t>En bombas de fangos cuando no lo incorporen</w:t>
      </w:r>
    </w:p>
    <w:p w:rsidR="00C7085E" w:rsidRDefault="00C7085E" w:rsidP="00B71B1A">
      <w:pPr>
        <w:spacing w:before="120" w:after="240" w:line="276" w:lineRule="auto"/>
        <w:ind w:right="-285"/>
      </w:pPr>
      <w:r>
        <w:t>En ningún caso se utilizará un único variador para dos o más motores.</w:t>
      </w:r>
    </w:p>
    <w:p w:rsidR="00C7085E" w:rsidRDefault="00C7085E" w:rsidP="00B71B1A">
      <w:pPr>
        <w:spacing w:before="120" w:after="240" w:line="276" w:lineRule="auto"/>
        <w:ind w:right="-285"/>
      </w:pPr>
      <w:r>
        <w:t>Se instalarán protecciones de tipo magnetotérmico aguas arriba de los equipos electrónicos. Para la alimentación de los motores desde estos equipos se utilizará cable apantallado.</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76" w:name="_Toc414022143"/>
      <w:bookmarkStart w:id="877" w:name="_Toc448741536"/>
      <w:r>
        <w:lastRenderedPageBreak/>
        <w:t>Autómatas de control</w:t>
      </w:r>
      <w:bookmarkEnd w:id="876"/>
      <w:bookmarkEnd w:id="877"/>
    </w:p>
    <w:p w:rsidR="00C7085E" w:rsidRDefault="00C7085E" w:rsidP="00B71B1A">
      <w:pPr>
        <w:spacing w:before="120" w:after="240" w:line="276" w:lineRule="auto"/>
        <w:ind w:right="-285"/>
      </w:pPr>
      <w:r>
        <w:t>Se dispondrá un autómata por Centro de Control de Motores o por unidad de proceso que lo requiera, que recogerán el estado de las señales digitales y analógicas procedentes de los equipos e instrumentos, procesarán las instrucciones de acuerdo con lo establecido en el programa de usuario y generarán las salidas de proceso. Asimismo enviarán al ordenador central toda la información obtenida de la zona del sistema que gobiernan.</w:t>
      </w:r>
    </w:p>
    <w:p w:rsidR="00C7085E" w:rsidRDefault="00C7085E" w:rsidP="00B71B1A">
      <w:pPr>
        <w:spacing w:before="120" w:after="240" w:line="276" w:lineRule="auto"/>
        <w:ind w:right="-285"/>
      </w:pPr>
      <w:r>
        <w:t xml:space="preserve">Todos los autómatas programables trabajarán en forma de inteligencia distribuida, es decir, que lo harán de forma autónoma, aun con falta de comunicación con cualquiera de los demás elementos de la red. Asimismo, cada autómata programable debe disponer de la memoria necesaria para las lógicas de funcionamiento con que va a trabajar y archivo de datos por un tiempo mínimo de 72 horas, con un 25% de reserva. </w:t>
      </w:r>
    </w:p>
    <w:p w:rsidR="00C7085E" w:rsidRDefault="00C7085E" w:rsidP="00B71B1A">
      <w:pPr>
        <w:spacing w:before="120" w:after="240" w:line="276" w:lineRule="auto"/>
        <w:ind w:right="-285"/>
      </w:pPr>
      <w:r>
        <w:t>Dispondrán, además, de puertos de comunicaciones para soportar:</w:t>
      </w:r>
    </w:p>
    <w:p w:rsidR="00C7085E" w:rsidRDefault="00C7085E" w:rsidP="00B71B1A">
      <w:pPr>
        <w:widowControl/>
        <w:numPr>
          <w:ilvl w:val="0"/>
          <w:numId w:val="12"/>
        </w:numPr>
        <w:spacing w:before="120" w:after="240" w:line="276" w:lineRule="auto"/>
        <w:ind w:right="-285"/>
      </w:pPr>
      <w:r>
        <w:t>Comunicación con la instalación</w:t>
      </w:r>
    </w:p>
    <w:p w:rsidR="00C7085E" w:rsidRDefault="00C7085E" w:rsidP="00B71B1A">
      <w:pPr>
        <w:widowControl/>
        <w:numPr>
          <w:ilvl w:val="0"/>
          <w:numId w:val="12"/>
        </w:numPr>
        <w:spacing w:before="120" w:after="240" w:line="276" w:lineRule="auto"/>
        <w:ind w:right="-285"/>
      </w:pPr>
      <w:r>
        <w:t>Terminal de control local (pantalla tipo LCD).</w:t>
      </w:r>
    </w:p>
    <w:p w:rsidR="00C7085E" w:rsidRDefault="00C7085E" w:rsidP="00B71B1A">
      <w:pPr>
        <w:widowControl/>
        <w:numPr>
          <w:ilvl w:val="0"/>
          <w:numId w:val="12"/>
        </w:numPr>
        <w:spacing w:before="120" w:after="240" w:line="276" w:lineRule="auto"/>
        <w:ind w:right="-285"/>
      </w:pPr>
      <w:r>
        <w:t>Programación y mantenimiento locales.</w:t>
      </w:r>
    </w:p>
    <w:p w:rsidR="00C7085E" w:rsidRDefault="00C7085E" w:rsidP="00B71B1A">
      <w:pPr>
        <w:widowControl/>
        <w:numPr>
          <w:ilvl w:val="0"/>
          <w:numId w:val="12"/>
        </w:numPr>
        <w:spacing w:before="120" w:after="240" w:line="276" w:lineRule="auto"/>
        <w:ind w:right="-285"/>
      </w:pPr>
      <w:r>
        <w:t>Puerto libre para futuras unidades de ampliación.</w:t>
      </w:r>
    </w:p>
    <w:p w:rsidR="00C7085E" w:rsidRDefault="00C7085E" w:rsidP="00B71B1A">
      <w:pPr>
        <w:widowControl/>
        <w:numPr>
          <w:ilvl w:val="0"/>
          <w:numId w:val="12"/>
        </w:numPr>
        <w:spacing w:before="120" w:after="240" w:line="276" w:lineRule="auto"/>
        <w:ind w:right="-285"/>
      </w:pPr>
      <w:r>
        <w:t>Posibilidad de ubicación arbitraria de tarjetas en el chasis.</w:t>
      </w:r>
    </w:p>
    <w:p w:rsidR="00C7085E" w:rsidRDefault="00C7085E" w:rsidP="00B71B1A">
      <w:pPr>
        <w:spacing w:before="120" w:after="240" w:line="276" w:lineRule="auto"/>
        <w:ind w:right="-285"/>
      </w:pPr>
      <w:r>
        <w:t>El conjunto del autómata programable se entenderá compuesto por bastidor, unidad central, fuente de alimentación, módulo de comunicaciones y módulos de E/S.</w:t>
      </w:r>
    </w:p>
    <w:p w:rsidR="00C7085E" w:rsidRDefault="00C7085E" w:rsidP="00B71B1A">
      <w:pPr>
        <w:spacing w:before="120" w:after="240" w:line="276" w:lineRule="auto"/>
        <w:ind w:right="-285"/>
        <w:rPr>
          <w:b/>
          <w:u w:val="single"/>
        </w:rPr>
      </w:pPr>
      <w:r>
        <w:rPr>
          <w:b/>
          <w:u w:val="single"/>
        </w:rPr>
        <w:t>Bastidor</w:t>
      </w:r>
      <w:r>
        <w:rPr>
          <w:b/>
        </w:rPr>
        <w:t>:</w:t>
      </w:r>
      <w:r>
        <w:t xml:space="preserve"> El bastidor contará al menos con un bastidor central que será ampliable en bastidores auxiliares en caso de necesidad.  </w:t>
      </w:r>
    </w:p>
    <w:p w:rsidR="00C7085E" w:rsidRDefault="00C7085E" w:rsidP="00B71B1A">
      <w:pPr>
        <w:spacing w:before="120" w:after="240" w:line="276" w:lineRule="auto"/>
        <w:ind w:right="-285"/>
        <w:rPr>
          <w:b/>
          <w:u w:val="single"/>
        </w:rPr>
      </w:pPr>
      <w:r>
        <w:rPr>
          <w:b/>
          <w:u w:val="single"/>
        </w:rPr>
        <w:t>Unidad central:</w:t>
      </w:r>
      <w:r>
        <w:t xml:space="preserve"> La unidad central permitirá la elaboración de programas de usuario en lenguajes AWL, FÜP, KOP, además de lenguajes de alto nivel. El programa podrá elaborarse combinando módulos desarrollados en distintos lenguajes.</w:t>
      </w:r>
    </w:p>
    <w:p w:rsidR="00C7085E" w:rsidRDefault="00C7085E" w:rsidP="00B71B1A">
      <w:pPr>
        <w:spacing w:before="120" w:after="240" w:line="276" w:lineRule="auto"/>
        <w:ind w:right="-285"/>
      </w:pPr>
      <w:r>
        <w:t>La herramienta de desarrollo ha de permitir la elaboración de librerías de usuario y librerías de funcionalidad especifica.</w:t>
      </w:r>
    </w:p>
    <w:p w:rsidR="00C7085E" w:rsidRDefault="00C7085E" w:rsidP="00B71B1A">
      <w:pPr>
        <w:spacing w:before="120" w:after="240" w:line="276" w:lineRule="auto"/>
        <w:ind w:right="-285"/>
      </w:pPr>
      <w:r>
        <w:t>Características técnicas mínimas:</w:t>
      </w:r>
    </w:p>
    <w:p w:rsidR="00C7085E" w:rsidRDefault="00C7085E" w:rsidP="00B71B1A">
      <w:pPr>
        <w:widowControl/>
        <w:numPr>
          <w:ilvl w:val="0"/>
          <w:numId w:val="12"/>
        </w:numPr>
        <w:spacing w:before="120" w:after="240" w:line="276" w:lineRule="auto"/>
        <w:ind w:right="-285"/>
      </w:pPr>
      <w:r>
        <w:t xml:space="preserve">Memoria de usuario: desde 288 Kbytes </w:t>
      </w:r>
    </w:p>
    <w:p w:rsidR="00C7085E" w:rsidRDefault="00C7085E" w:rsidP="00B71B1A">
      <w:pPr>
        <w:widowControl/>
        <w:numPr>
          <w:ilvl w:val="0"/>
          <w:numId w:val="12"/>
        </w:numPr>
        <w:spacing w:before="120" w:after="240" w:line="276" w:lineRule="auto"/>
        <w:ind w:right="-285"/>
      </w:pPr>
      <w:r>
        <w:t>Memoria de carga: ampliable hasta 8 MB (RAM/FERPOM).</w:t>
      </w:r>
    </w:p>
    <w:p w:rsidR="00C7085E" w:rsidRDefault="00C7085E" w:rsidP="00B71B1A">
      <w:pPr>
        <w:widowControl/>
        <w:numPr>
          <w:ilvl w:val="0"/>
          <w:numId w:val="12"/>
        </w:numPr>
        <w:spacing w:before="120" w:after="240" w:line="276" w:lineRule="auto"/>
        <w:ind w:right="-285"/>
      </w:pPr>
      <w:r>
        <w:t>Posibilidad de remanencia de memoria en caso de fallo de tensión de alimentación.</w:t>
      </w:r>
    </w:p>
    <w:p w:rsidR="00C7085E" w:rsidRDefault="00C7085E" w:rsidP="00B71B1A">
      <w:pPr>
        <w:widowControl/>
        <w:numPr>
          <w:ilvl w:val="0"/>
          <w:numId w:val="12"/>
        </w:numPr>
        <w:spacing w:before="120" w:after="240" w:line="276" w:lineRule="auto"/>
        <w:ind w:right="-285"/>
      </w:pPr>
      <w:r>
        <w:t>Posibilidad de instalación de tarjeta SD como respaldo de firmware y aplicación.</w:t>
      </w:r>
    </w:p>
    <w:p w:rsidR="00C7085E" w:rsidRDefault="00C7085E" w:rsidP="00B71B1A">
      <w:pPr>
        <w:widowControl/>
        <w:numPr>
          <w:ilvl w:val="0"/>
          <w:numId w:val="12"/>
        </w:numPr>
        <w:spacing w:before="120" w:after="240" w:line="276" w:lineRule="auto"/>
        <w:ind w:right="-285"/>
      </w:pPr>
      <w:r>
        <w:lastRenderedPageBreak/>
        <w:t>Capacidad de direccionamiento de E/S: desde 2 kbytes. Canales digitales desde 16384, canales analógicos desde 1024 canales.</w:t>
      </w:r>
    </w:p>
    <w:p w:rsidR="00C7085E" w:rsidRDefault="00C7085E" w:rsidP="00B71B1A">
      <w:pPr>
        <w:widowControl/>
        <w:numPr>
          <w:ilvl w:val="0"/>
          <w:numId w:val="12"/>
        </w:numPr>
        <w:spacing w:before="120" w:after="240" w:line="276" w:lineRule="auto"/>
        <w:ind w:right="-285"/>
      </w:pPr>
      <w:r>
        <w:t xml:space="preserve">Puertos incluidos de comunicaciones incluidos en la CPU: </w:t>
      </w:r>
    </w:p>
    <w:p w:rsidR="00C7085E" w:rsidRDefault="00C7085E" w:rsidP="00B71B1A">
      <w:pPr>
        <w:widowControl/>
        <w:numPr>
          <w:ilvl w:val="1"/>
          <w:numId w:val="12"/>
        </w:numPr>
        <w:spacing w:before="120" w:after="240" w:line="276" w:lineRule="auto"/>
        <w:ind w:right="-285"/>
      </w:pPr>
      <w:r>
        <w:t>Al menos dos puertos de comunicaciones para comunicar con estaciones de periferia en caso de ser solicitada. Utilizable como interfaz con dispositivos HMI y puerto de programación.</w:t>
      </w:r>
    </w:p>
    <w:p w:rsidR="00C7085E" w:rsidRDefault="00C7085E" w:rsidP="00B71B1A">
      <w:pPr>
        <w:spacing w:before="120" w:after="240" w:line="276" w:lineRule="auto"/>
        <w:ind w:right="-285"/>
      </w:pPr>
      <w:r>
        <w:t>Las CPUs con interfaz Ethernet contarán con una interfaz Web para su diagnóstico sencillo.</w:t>
      </w:r>
    </w:p>
    <w:p w:rsidR="00C7085E" w:rsidRDefault="00C7085E" w:rsidP="00B71B1A">
      <w:pPr>
        <w:spacing w:before="120" w:after="240" w:line="276" w:lineRule="auto"/>
        <w:ind w:right="-285"/>
      </w:pPr>
      <w:r>
        <w:rPr>
          <w:b/>
          <w:u w:val="single"/>
        </w:rPr>
        <w:t>Fuente de alimentación:</w:t>
      </w:r>
      <w:r>
        <w:t xml:space="preserve"> Tensión nominal de entrada 120/230 V c.a., 50/60 Hz o conexión a red de corriente continua (tensión nominal de entrada 24/48/72/96/110 V c.c.)</w:t>
      </w:r>
    </w:p>
    <w:p w:rsidR="00C7085E" w:rsidRDefault="00C7085E" w:rsidP="00B71B1A">
      <w:pPr>
        <w:spacing w:before="120" w:after="240" w:line="276" w:lineRule="auto"/>
        <w:ind w:right="-285"/>
        <w:rPr>
          <w:b/>
          <w:u w:val="single"/>
        </w:rPr>
      </w:pPr>
      <w:r>
        <w:rPr>
          <w:b/>
          <w:u w:val="single"/>
        </w:rPr>
        <w:t>Módulo de comunicaciones industrial Ethernet:</w:t>
      </w:r>
      <w:r>
        <w:t xml:space="preserve"> Dispondrá de interfaz de conexión de tipo RJ45 según Industrial Ethernet, así como al menos de dos puertos que realizaran la función de switch. Tendrá soporte para protocolos TCP/IP, UDP/IP, ISO-on-TCP (RFC1006) o los implantados habitualmente en el sector de la automatización. Además incluirá una interfaz web para su diagnóstico y configuración. Por último, dispondrá de la capacidad de configuración y diagnóstico de los enlaces y equipos de la red.</w:t>
      </w:r>
    </w:p>
    <w:p w:rsidR="00C7085E" w:rsidRDefault="00C7085E" w:rsidP="00B71B1A">
      <w:pPr>
        <w:spacing w:before="120" w:after="240" w:line="276" w:lineRule="auto"/>
        <w:ind w:right="-285"/>
        <w:rPr>
          <w:b/>
          <w:u w:val="single"/>
        </w:rPr>
      </w:pPr>
      <w:r>
        <w:rPr>
          <w:b/>
          <w:u w:val="single"/>
        </w:rPr>
        <w:t>Módulos de E/S digitales:</w:t>
      </w:r>
      <w:r>
        <w:rPr>
          <w:u w:val="single"/>
        </w:rPr>
        <w:t xml:space="preserve"> </w:t>
      </w:r>
      <w:r>
        <w:t>Los módulos de entradas digitales dispondrán al menos de 32 entradas, con separación galvánica. La tensión nominal de entrada será de 24 V c.c. Los módulos serán adecuados para conmutadores y detectores de proximidad a 2/3/4 hilos y dispondrán de un bornero frontal para su sencillo cableado y reposición.</w:t>
      </w:r>
    </w:p>
    <w:p w:rsidR="00C7085E" w:rsidRDefault="00C7085E" w:rsidP="00B71B1A">
      <w:pPr>
        <w:spacing w:before="120" w:after="240" w:line="276" w:lineRule="auto"/>
        <w:ind w:right="-285"/>
      </w:pPr>
      <w:r>
        <w:t>Los módulos de salida dispondrán de separación galvánica y una intensidad de salida de hasta 0,5 A. La tensión nominal de carga será de 24 V c.c. Además dispondrán de un bornero frontal para su sencillo cableado y reposición.</w:t>
      </w:r>
    </w:p>
    <w:p w:rsidR="00C7085E" w:rsidRDefault="00C7085E" w:rsidP="00B71B1A">
      <w:pPr>
        <w:spacing w:before="120" w:after="240" w:line="276" w:lineRule="auto"/>
        <w:ind w:right="-285"/>
      </w:pPr>
      <w:r>
        <w:t>Se preverán módulos suficientes instalados como para disponer de un 20% de E/S de reserva.</w:t>
      </w:r>
    </w:p>
    <w:p w:rsidR="00C7085E" w:rsidRDefault="00C7085E" w:rsidP="00B71B1A">
      <w:pPr>
        <w:spacing w:before="120" w:after="240" w:line="276" w:lineRule="auto"/>
        <w:ind w:right="-285"/>
        <w:rPr>
          <w:b/>
          <w:u w:val="single"/>
        </w:rPr>
      </w:pPr>
      <w:r>
        <w:rPr>
          <w:b/>
          <w:u w:val="single"/>
        </w:rPr>
        <w:t>Módulos de E/S Analógicos:</w:t>
      </w:r>
      <w:r>
        <w:t xml:space="preserve"> El rango de módulos de E/S será amplio, en número señales por módulo y tipo. Los módulos dispondrán de un bornero frontal para su sencillo cableado y reposición.</w:t>
      </w:r>
    </w:p>
    <w:p w:rsidR="00C7085E" w:rsidRDefault="00C7085E" w:rsidP="00B71B1A">
      <w:pPr>
        <w:spacing w:before="120" w:after="240" w:line="276" w:lineRule="auto"/>
        <w:ind w:right="-285"/>
      </w:pPr>
      <w:r>
        <w:t>Los módulos serán de 8 entradas formando 4 grupos de canales. Los tipos de medición ajustable por grupo de canales serán: tensión, intensidad, resistencia y temperatura.</w:t>
      </w:r>
    </w:p>
    <w:p w:rsidR="00C7085E" w:rsidRDefault="00C7085E" w:rsidP="00B71B1A">
      <w:pPr>
        <w:spacing w:before="120" w:after="240" w:line="276" w:lineRule="auto"/>
        <w:ind w:right="-285"/>
      </w:pPr>
      <w:r>
        <w:t>Se preverán módulos suficientes instalados como para disponer de un 20% de E/S de reserva.</w:t>
      </w:r>
    </w:p>
    <w:p w:rsidR="00C7085E" w:rsidRDefault="00C7085E" w:rsidP="00B71B1A">
      <w:pPr>
        <w:spacing w:before="120" w:after="240" w:line="276" w:lineRule="auto"/>
        <w:ind w:right="-285"/>
      </w:pPr>
      <w:r>
        <w:t xml:space="preserve">La resolución será ajustable por grupo de canales (9/12/14 bits +   signo). Se podrá seleccionar discrecionalmente el rango de medición en cada grupo de canales. El diagnóstico y la alarma de diagnóstico serán parametrizables. La supervisión de valores límite será ajustable para 2 canales. Además habrá separación galvánica entre CPU y </w:t>
      </w:r>
      <w:r>
        <w:lastRenderedPageBreak/>
        <w:t>tensión de carga.</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78" w:name="_Toc414022144"/>
      <w:bookmarkStart w:id="879" w:name="_Toc448741537"/>
      <w:r>
        <w:t>Comunicaciones</w:t>
      </w:r>
      <w:bookmarkEnd w:id="878"/>
      <w:bookmarkEnd w:id="879"/>
    </w:p>
    <w:p w:rsidR="00C7085E" w:rsidRDefault="00C7085E" w:rsidP="00B71B1A">
      <w:pPr>
        <w:spacing w:before="120" w:after="240" w:line="276" w:lineRule="auto"/>
        <w:ind w:right="-285"/>
      </w:pPr>
      <w:r>
        <w:t>Las características de las comunicaciones mediante red de proceso en las instalaciones serán las siguientes:</w:t>
      </w:r>
    </w:p>
    <w:p w:rsidR="00C7085E" w:rsidRDefault="00C7085E" w:rsidP="00B71B1A">
      <w:pPr>
        <w:spacing w:before="120" w:after="240" w:line="276" w:lineRule="auto"/>
        <w:ind w:right="-285"/>
        <w:rPr>
          <w:b/>
          <w:u w:val="single"/>
        </w:rPr>
      </w:pPr>
      <w:r>
        <w:rPr>
          <w:b/>
          <w:u w:val="single"/>
        </w:rPr>
        <w:t>Configuración:</w:t>
      </w:r>
      <w:r>
        <w:t xml:space="preserve"> Se instalará una red Ethernet industrial con topología anillo, donde irán interconexionados todos los PLC’s, paneles de operación, analizadores de redes (si fuera el caso), etc. A través de Switches se conectará con los PC’s de supervisión, gestión, sistema de telecontrol, etc.</w:t>
      </w:r>
    </w:p>
    <w:p w:rsidR="00C7085E" w:rsidRDefault="00C7085E" w:rsidP="00B71B1A">
      <w:pPr>
        <w:spacing w:before="120" w:after="240" w:line="276" w:lineRule="auto"/>
        <w:ind w:right="-285"/>
      </w:pPr>
      <w:r>
        <w:rPr>
          <w:b/>
          <w:u w:val="single"/>
        </w:rPr>
        <w:t>Soporte</w:t>
      </w:r>
      <w:r>
        <w:rPr>
          <w:b/>
        </w:rPr>
        <w:t xml:space="preserve">: </w:t>
      </w:r>
      <w:r>
        <w:t>El soporte de trasmisión de datos de las instalaciones con el Centro de Control será aprobado por los Servicios Técnicos de Canal de Isabel II Gestión, bien sea fibra óptica, vía radio o GPRS.</w:t>
      </w:r>
    </w:p>
    <w:p w:rsidR="00C7085E" w:rsidRDefault="00C7085E" w:rsidP="00B71B1A">
      <w:pPr>
        <w:spacing w:before="120" w:after="240" w:line="276" w:lineRule="auto"/>
        <w:ind w:right="-285"/>
      </w:pPr>
      <w:r>
        <w:t>En el caso de fibra óptica, el cable tendrá protección antirroedores y con al menos 16 fibras y dos de ellas de reserva. Todas totalmente preparadas para su uso. En el interior de cada armario de PLC se instalarán cajas de conexiones con terminales tipo “pig-tail”. Se instalarán convertidores de fibra – cobre con más de un puerto</w:t>
      </w:r>
    </w:p>
    <w:p w:rsidR="00C7085E" w:rsidRDefault="00C7085E" w:rsidP="00B71B1A">
      <w:pPr>
        <w:spacing w:before="120" w:after="240" w:line="276" w:lineRule="auto"/>
        <w:ind w:right="-285"/>
      </w:pPr>
      <w:r>
        <w:t>Se proyectará el tendido de un tritubo según normativa de Canal de Isabel II Gestión.</w:t>
      </w:r>
    </w:p>
    <w:p w:rsidR="00C7085E" w:rsidRDefault="00C7085E" w:rsidP="00B71B1A">
      <w:pPr>
        <w:spacing w:before="120" w:after="240" w:line="276" w:lineRule="auto"/>
        <w:ind w:right="-285"/>
      </w:pPr>
      <w:r>
        <w:rPr>
          <w:b/>
          <w:u w:val="single"/>
        </w:rPr>
        <w:t>Redundancia</w:t>
      </w:r>
      <w:r>
        <w:rPr>
          <w:b/>
        </w:rPr>
        <w:t>:</w:t>
      </w:r>
      <w:r>
        <w:t xml:space="preserve"> La topología de la red entre PLC’s será en anillo, para conseguir redundancia ante rotura de hilo o fallo de algún terminal.</w:t>
      </w:r>
    </w:p>
    <w:p w:rsidR="00C7085E" w:rsidRDefault="00C7085E" w:rsidP="00B71B1A">
      <w:pPr>
        <w:spacing w:before="120" w:after="240" w:line="276" w:lineRule="auto"/>
        <w:ind w:right="-285"/>
      </w:pPr>
      <w:r>
        <w:rPr>
          <w:b/>
          <w:u w:val="single"/>
        </w:rPr>
        <w:t>Alimentación auxiliar</w:t>
      </w:r>
      <w:r>
        <w:rPr>
          <w:b/>
        </w:rPr>
        <w:t xml:space="preserve">: </w:t>
      </w:r>
      <w:r>
        <w:t>Se dotará de un S.A.I. que alimente a los equipos de control más importantes (autómata, equipo de comunicaciones, etc.). La autonomía mínima será al menos de quince minutos aunque será definida en función de la instalación y el sistema de alimentación será aislado de la red principal (rectificador - ondulador).</w:t>
      </w:r>
    </w:p>
    <w:p w:rsidR="00C7085E" w:rsidRDefault="00C7085E" w:rsidP="00B71B1A">
      <w:pPr>
        <w:spacing w:before="120" w:after="240" w:line="276" w:lineRule="auto"/>
        <w:ind w:right="-285"/>
      </w:pPr>
      <w:r>
        <w:rPr>
          <w:b/>
          <w:u w:val="single"/>
        </w:rPr>
        <w:t>Protecciones</w:t>
      </w:r>
      <w:r>
        <w:rPr>
          <w:b/>
        </w:rPr>
        <w:t>:</w:t>
      </w:r>
      <w:r>
        <w:t xml:space="preserve"> Se dotará a las alimentaciones de los equipos de control de una protección contra sobretensiones. También se instalarán en la línea de alimentación general a la instalación (en baja tensión), y en cada cuadro local, en tres niveles de tensión residual.</w:t>
      </w:r>
    </w:p>
    <w:p w:rsidR="00C7085E" w:rsidRDefault="00C7085E" w:rsidP="00B71B1A">
      <w:pPr>
        <w:spacing w:before="120" w:after="240" w:line="276" w:lineRule="auto"/>
        <w:ind w:right="-285"/>
      </w:pPr>
      <w:r>
        <w:t>Cada elemento dispondrá de protección magneto-térmica.</w:t>
      </w:r>
    </w:p>
    <w:p w:rsidR="00C7085E" w:rsidRDefault="00C7085E" w:rsidP="00B71B1A">
      <w:pPr>
        <w:spacing w:before="120" w:after="240" w:line="276" w:lineRule="auto"/>
        <w:ind w:right="-285"/>
      </w:pPr>
      <w:r>
        <w:t>El Adjudicatario presentará, previamente a la instalación de la aparamenta, un estudio detallado de las protecciones a instalar, indicando puntos de instalación, marcas, modelos y tipos seleccionados. El fabricante de dicha aparamenta extenderá un certificado aprobando la protección proyectada de acuerdo a la especificación establecida en este Pliego.</w:t>
      </w:r>
    </w:p>
    <w:p w:rsidR="00C7085E" w:rsidRDefault="00C7085E" w:rsidP="00B71B1A">
      <w:pPr>
        <w:spacing w:before="120" w:after="240" w:line="276" w:lineRule="auto"/>
        <w:ind w:right="-285"/>
      </w:pPr>
      <w:r>
        <w:t>Para la selección de las protecciones contra sobretensiones más idóneas para esta instalación, se tendrán en cuenta las siguientes posibles vías de entrada de sobretensiones:</w:t>
      </w:r>
    </w:p>
    <w:p w:rsidR="00C7085E" w:rsidRDefault="00C7085E" w:rsidP="00B71B1A">
      <w:pPr>
        <w:widowControl/>
        <w:numPr>
          <w:ilvl w:val="0"/>
          <w:numId w:val="12"/>
        </w:numPr>
        <w:spacing w:before="120" w:after="240" w:line="276" w:lineRule="auto"/>
        <w:ind w:right="-285"/>
      </w:pPr>
      <w:r>
        <w:t>Red de alimentación en M.T. y B.T.</w:t>
      </w:r>
    </w:p>
    <w:p w:rsidR="00C7085E" w:rsidRDefault="00C7085E" w:rsidP="00B71B1A">
      <w:pPr>
        <w:widowControl/>
        <w:numPr>
          <w:ilvl w:val="0"/>
          <w:numId w:val="12"/>
        </w:numPr>
        <w:spacing w:before="120" w:after="240" w:line="276" w:lineRule="auto"/>
        <w:ind w:right="-285"/>
      </w:pPr>
      <w:r>
        <w:lastRenderedPageBreak/>
        <w:t>Buses de comunicaciones.</w:t>
      </w:r>
    </w:p>
    <w:p w:rsidR="00C7085E" w:rsidRDefault="00C7085E" w:rsidP="00B71B1A">
      <w:pPr>
        <w:widowControl/>
        <w:numPr>
          <w:ilvl w:val="0"/>
          <w:numId w:val="12"/>
        </w:numPr>
        <w:spacing w:before="120" w:after="240" w:line="276" w:lineRule="auto"/>
        <w:ind w:right="-285"/>
      </w:pPr>
      <w:r>
        <w:t>Señales de sensores.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80" w:name="_Toc414022145"/>
      <w:bookmarkStart w:id="881" w:name="_Toc448741538"/>
      <w:r>
        <w:t>Supervisión y control</w:t>
      </w:r>
      <w:bookmarkEnd w:id="880"/>
      <w:bookmarkEnd w:id="881"/>
    </w:p>
    <w:p w:rsidR="00C7085E" w:rsidRDefault="00C7085E" w:rsidP="00B71B1A">
      <w:pPr>
        <w:spacing w:before="120" w:after="240" w:line="276" w:lineRule="auto"/>
        <w:ind w:right="-285"/>
      </w:pPr>
      <w:r>
        <w:t xml:space="preserve">Para la </w:t>
      </w:r>
      <w:r>
        <w:rPr>
          <w:b/>
        </w:rPr>
        <w:t>supervisión local o HMI</w:t>
      </w:r>
      <w:r>
        <w:t xml:space="preserve"> se instalará en cada Centro de Control de Motores o en la estación remota que lo requiera un terminal de visualización de las siguientes características</w:t>
      </w:r>
    </w:p>
    <w:p w:rsidR="00C7085E" w:rsidRDefault="00C7085E" w:rsidP="00B71B1A">
      <w:pPr>
        <w:widowControl/>
        <w:numPr>
          <w:ilvl w:val="0"/>
          <w:numId w:val="12"/>
        </w:numPr>
        <w:spacing w:before="120" w:after="240" w:line="276" w:lineRule="auto"/>
        <w:ind w:left="714" w:right="-285" w:hanging="357"/>
      </w:pPr>
      <w:r>
        <w:t>Pantalla táctil tipo LCD de al menos 12”</w:t>
      </w:r>
    </w:p>
    <w:p w:rsidR="00C7085E" w:rsidRDefault="00C7085E" w:rsidP="00B71B1A">
      <w:pPr>
        <w:widowControl/>
        <w:numPr>
          <w:ilvl w:val="0"/>
          <w:numId w:val="12"/>
        </w:numPr>
        <w:spacing w:before="120" w:after="240" w:line="276" w:lineRule="auto"/>
        <w:ind w:left="714" w:right="-285" w:hanging="357"/>
      </w:pPr>
      <w:r>
        <w:t>Utilidades gráficas incorporadas.</w:t>
      </w:r>
    </w:p>
    <w:p w:rsidR="00C7085E" w:rsidRDefault="00C7085E" w:rsidP="00B71B1A">
      <w:pPr>
        <w:widowControl/>
        <w:numPr>
          <w:ilvl w:val="0"/>
          <w:numId w:val="12"/>
        </w:numPr>
        <w:spacing w:before="120" w:after="240" w:line="276" w:lineRule="auto"/>
        <w:ind w:left="714" w:right="-285" w:hanging="357"/>
      </w:pPr>
      <w:r>
        <w:t>Sistema Windows CE o equivalente.</w:t>
      </w:r>
    </w:p>
    <w:p w:rsidR="00C7085E" w:rsidRDefault="00C7085E" w:rsidP="00B71B1A">
      <w:pPr>
        <w:widowControl/>
        <w:numPr>
          <w:ilvl w:val="0"/>
          <w:numId w:val="12"/>
        </w:numPr>
        <w:spacing w:before="120" w:after="240" w:line="276" w:lineRule="auto"/>
        <w:ind w:left="714" w:right="-285" w:hanging="357"/>
      </w:pPr>
      <w:r>
        <w:t>Software de supervisión.</w:t>
      </w:r>
    </w:p>
    <w:p w:rsidR="00C7085E" w:rsidRDefault="00C7085E" w:rsidP="00B71B1A">
      <w:pPr>
        <w:spacing w:before="120" w:after="240" w:line="276" w:lineRule="auto"/>
        <w:ind w:right="-285"/>
      </w:pPr>
      <w:r>
        <w:t>El panel debe integrarse en la red de control a través de un puerto Ethernet.</w:t>
      </w:r>
    </w:p>
    <w:p w:rsidR="00C7085E" w:rsidRDefault="00C7085E" w:rsidP="00B71B1A">
      <w:pPr>
        <w:spacing w:before="120" w:after="240" w:line="276" w:lineRule="auto"/>
        <w:ind w:right="-285"/>
      </w:pPr>
      <w:r>
        <w:t xml:space="preserve">Para la </w:t>
      </w:r>
      <w:r>
        <w:rPr>
          <w:b/>
        </w:rPr>
        <w:t>supervisión remota</w:t>
      </w:r>
      <w:r>
        <w:t>, los equipos de la planta y el resto de estaciones remotas, serán integrados en el sistema de control, añadiendo para ello los elementos de control que sean necesario para hacerlo de forma consistente y uniforme.</w:t>
      </w:r>
    </w:p>
    <w:p w:rsidR="00C7085E" w:rsidRDefault="00C7085E" w:rsidP="00B71B1A">
      <w:pPr>
        <w:spacing w:before="120" w:after="240" w:line="276" w:lineRule="auto"/>
        <w:ind w:right="-285"/>
      </w:pPr>
      <w:r>
        <w:t>Las estaciones tendrán la posibilidad de ser integradas como unidades de supervisión en el Centro Principal de Control (C.P.C.). El tiempo de refresco de las señales de las estaciones no excederá de 1 minuto.</w:t>
      </w:r>
    </w:p>
    <w:p w:rsidR="00C7085E" w:rsidRDefault="00C7085E" w:rsidP="00B71B1A">
      <w:pPr>
        <w:keepNext/>
        <w:keepLines/>
        <w:spacing w:before="120" w:after="240" w:line="276" w:lineRule="auto"/>
        <w:ind w:right="-285"/>
        <w:rPr>
          <w:b/>
          <w:u w:val="single"/>
        </w:rPr>
      </w:pPr>
      <w:r>
        <w:rPr>
          <w:b/>
          <w:u w:val="single"/>
        </w:rPr>
        <w:t>Señales de control:</w:t>
      </w:r>
    </w:p>
    <w:p w:rsidR="00C7085E" w:rsidRDefault="00C7085E" w:rsidP="00B71B1A">
      <w:pPr>
        <w:keepNext/>
        <w:keepLines/>
        <w:spacing w:before="120" w:after="240" w:line="276" w:lineRule="auto"/>
        <w:ind w:right="-285"/>
      </w:pPr>
      <w:r>
        <w:t>Los autómatas programables constarán de las siguientes señales:</w:t>
      </w:r>
    </w:p>
    <w:p w:rsidR="00C7085E" w:rsidRDefault="00C7085E" w:rsidP="00B71B1A">
      <w:pPr>
        <w:widowControl/>
        <w:numPr>
          <w:ilvl w:val="0"/>
          <w:numId w:val="12"/>
        </w:numPr>
        <w:spacing w:before="120" w:after="240" w:line="276" w:lineRule="auto"/>
        <w:ind w:right="-285"/>
        <w:rPr>
          <w:u w:val="single"/>
        </w:rPr>
      </w:pPr>
      <w:r>
        <w:rPr>
          <w:u w:val="single"/>
        </w:rPr>
        <w:t>Por máquina:</w:t>
      </w:r>
    </w:p>
    <w:p w:rsidR="00C7085E" w:rsidRDefault="00C7085E" w:rsidP="00B71B1A">
      <w:pPr>
        <w:spacing w:before="120" w:after="240" w:line="276" w:lineRule="auto"/>
        <w:ind w:left="708" w:right="-285"/>
      </w:pPr>
      <w:r>
        <w:t>Estado de funcionamiento, fallo, automático. Orden de marcha, emergencia.</w:t>
      </w:r>
    </w:p>
    <w:p w:rsidR="00C7085E" w:rsidRDefault="00C7085E" w:rsidP="00B71B1A">
      <w:pPr>
        <w:widowControl/>
        <w:numPr>
          <w:ilvl w:val="0"/>
          <w:numId w:val="12"/>
        </w:numPr>
        <w:spacing w:before="120" w:after="240" w:line="276" w:lineRule="auto"/>
        <w:ind w:right="-285"/>
        <w:rPr>
          <w:u w:val="single"/>
        </w:rPr>
      </w:pPr>
      <w:r>
        <w:rPr>
          <w:u w:val="single"/>
        </w:rPr>
        <w:t>Protecciones redundantes:</w:t>
      </w:r>
    </w:p>
    <w:p w:rsidR="00C7085E" w:rsidRDefault="00C7085E" w:rsidP="00B71B1A">
      <w:pPr>
        <w:spacing w:before="120" w:after="240" w:line="276" w:lineRule="auto"/>
        <w:ind w:left="708" w:right="-285"/>
      </w:pPr>
      <w:r>
        <w:t>Detectores de nivel de seguridad redundantes para condiciones de seguridad (máximo y/o mínimo de seguridad), aunque exista una medida en continuo. Otras alarmas críticas para el funcionamiento de la estación.</w:t>
      </w:r>
    </w:p>
    <w:p w:rsidR="00C7085E" w:rsidRDefault="00C7085E" w:rsidP="00B71B1A">
      <w:pPr>
        <w:widowControl/>
        <w:numPr>
          <w:ilvl w:val="0"/>
          <w:numId w:val="12"/>
        </w:numPr>
        <w:spacing w:before="120" w:after="240" w:line="276" w:lineRule="auto"/>
        <w:ind w:right="-285"/>
        <w:rPr>
          <w:u w:val="single"/>
        </w:rPr>
      </w:pPr>
      <w:r>
        <w:rPr>
          <w:u w:val="single"/>
        </w:rPr>
        <w:t>Medidores:</w:t>
      </w:r>
    </w:p>
    <w:p w:rsidR="00C7085E" w:rsidRDefault="00C7085E" w:rsidP="00B71B1A">
      <w:pPr>
        <w:spacing w:before="120" w:after="240" w:line="276" w:lineRule="auto"/>
        <w:ind w:left="708" w:right="-285"/>
      </w:pPr>
      <w:r>
        <w:t>Señal analógica de 4 a 20 mA. Impulsos de totalización mediante tarjeta contadora de impulsos.</w:t>
      </w:r>
    </w:p>
    <w:p w:rsidR="00534627" w:rsidRDefault="00534627" w:rsidP="00B71B1A">
      <w:pPr>
        <w:spacing w:before="120" w:after="240" w:line="276" w:lineRule="auto"/>
        <w:ind w:left="708" w:right="-285"/>
      </w:pPr>
    </w:p>
    <w:p w:rsidR="00C7085E" w:rsidRDefault="00C7085E" w:rsidP="00B71B1A">
      <w:pPr>
        <w:widowControl/>
        <w:numPr>
          <w:ilvl w:val="0"/>
          <w:numId w:val="12"/>
        </w:numPr>
        <w:spacing w:before="120" w:after="240" w:line="276" w:lineRule="auto"/>
        <w:ind w:left="714" w:right="-285" w:hanging="357"/>
        <w:rPr>
          <w:u w:val="single"/>
        </w:rPr>
      </w:pPr>
      <w:r>
        <w:rPr>
          <w:u w:val="single"/>
        </w:rPr>
        <w:lastRenderedPageBreak/>
        <w:t>Salidas analógicas:</w:t>
      </w:r>
    </w:p>
    <w:p w:rsidR="00C7085E" w:rsidRDefault="00C7085E" w:rsidP="00B71B1A">
      <w:pPr>
        <w:spacing w:before="120" w:after="240" w:line="276" w:lineRule="auto"/>
        <w:ind w:left="708" w:right="-285"/>
      </w:pPr>
      <w:r>
        <w:t>Hacia compuertas o válvulas motorizadas, variadores de frecuencia, etc.</w:t>
      </w:r>
    </w:p>
    <w:p w:rsidR="00C7085E" w:rsidRDefault="00C7085E" w:rsidP="00B71B1A">
      <w:pPr>
        <w:spacing w:before="120" w:after="240" w:line="276" w:lineRule="auto"/>
        <w:ind w:right="-285"/>
        <w:rPr>
          <w:b/>
          <w:u w:val="single"/>
        </w:rPr>
      </w:pPr>
      <w:r>
        <w:rPr>
          <w:b/>
          <w:u w:val="single"/>
        </w:rPr>
        <w:t>Conexión al sistema de telecontrol de Canal de Isabel II Gestión</w:t>
      </w:r>
    </w:p>
    <w:p w:rsidR="00C7085E" w:rsidRDefault="00C7085E" w:rsidP="00B71B1A">
      <w:pPr>
        <w:spacing w:before="120" w:after="240" w:line="276" w:lineRule="auto"/>
        <w:ind w:right="-285"/>
      </w:pPr>
      <w:r>
        <w:t>Las instalaciones serán integradas a la actual estructura de supervisión remota que Canal de Isabel II Gestión tiene instalada, cuyo centro operativo es el Centro Principal de Control (C.P.C.)</w:t>
      </w:r>
      <w:r>
        <w:rPr>
          <w:color w:val="FF0000"/>
        </w:rPr>
        <w:t>.</w:t>
      </w:r>
      <w:r>
        <w:t xml:space="preserve"> Para conseguir este objetivo, se instalará el equipamiento y la programación necesaria que permita poder realizar esta conexión junto con la puesta en servicio de las instalaciones.</w:t>
      </w:r>
    </w:p>
    <w:p w:rsidR="00C7085E" w:rsidRDefault="00C7085E" w:rsidP="00B71B1A">
      <w:pPr>
        <w:spacing w:before="120" w:after="240" w:line="276" w:lineRule="auto"/>
        <w:ind w:right="-285"/>
      </w:pPr>
      <w:r>
        <w:t>La conexión de datos con el Centro Principal de Control será coordinada con el Área de Automatización de Canal Isabel II Gestión.</w:t>
      </w:r>
    </w:p>
    <w:p w:rsidR="00C7085E" w:rsidRDefault="00C7085E" w:rsidP="00B71B1A">
      <w:pPr>
        <w:spacing w:before="120" w:after="240" w:line="276" w:lineRule="auto"/>
        <w:ind w:right="-285"/>
      </w:pPr>
      <w:r>
        <w:t>Como equipamiento, deberán ser previstos módulos de conexionado de los autómatas con el sistema de transmisión, ya sea basado en “switches”, “routers”, o módems específicos.</w:t>
      </w:r>
    </w:p>
    <w:p w:rsidR="00C7085E" w:rsidRDefault="00C7085E" w:rsidP="00B71B1A">
      <w:pPr>
        <w:spacing w:before="120" w:after="240" w:line="276" w:lineRule="auto"/>
        <w:ind w:right="-285"/>
      </w:pPr>
      <w:r>
        <w:t>En cuanto a la programación, se tendrán en cuenta partidas de adaptación del software para la creación de tablas de las variables a transmitir, con posibilidad de alarmas por fallos de tensión de alimentación a la planta. Estas tablas serán configurables de forma remota.</w:t>
      </w:r>
    </w:p>
    <w:p w:rsidR="00C7085E" w:rsidRDefault="00C7085E" w:rsidP="00B71B1A">
      <w:pPr>
        <w:spacing w:before="120" w:after="240" w:line="276" w:lineRule="auto"/>
        <w:ind w:right="-285"/>
      </w:pPr>
      <w:r>
        <w:t>Una vez acabada la obra se entregará a Canal de Isabel II Gestión las licencias, documentaciones, programas de desarrollo, y copias de seguridad en formato digital de todo el software utilizado en la instalación.</w:t>
      </w:r>
    </w:p>
    <w:p w:rsidR="00C7085E" w:rsidRDefault="00C7085E" w:rsidP="00B71B1A">
      <w:pPr>
        <w:spacing w:before="120" w:after="240" w:line="276" w:lineRule="auto"/>
        <w:ind w:right="-285"/>
      </w:pPr>
      <w:r>
        <w:t xml:space="preserve">Durante el transcurso de la obra la Dirección de Obra de Canal de Isabel II Gestión notificará la forma de licenciar los distintos programas. Todos los programas serán de características compatibles con las actuales. </w:t>
      </w:r>
    </w:p>
    <w:p w:rsidR="00C7085E" w:rsidRDefault="00C7085E" w:rsidP="00B71B1A">
      <w:pPr>
        <w:spacing w:before="120" w:after="240" w:line="276" w:lineRule="auto"/>
        <w:ind w:right="-285"/>
        <w:rPr>
          <w:b/>
          <w:u w:val="single"/>
        </w:rPr>
      </w:pPr>
      <w:r>
        <w:rPr>
          <w:b/>
          <w:u w:val="single"/>
        </w:rPr>
        <w:t>Documentación</w:t>
      </w:r>
    </w:p>
    <w:p w:rsidR="00C7085E" w:rsidRDefault="00C7085E" w:rsidP="00B71B1A">
      <w:pPr>
        <w:spacing w:before="120" w:after="240" w:line="276" w:lineRule="auto"/>
        <w:ind w:right="-285"/>
      </w:pPr>
      <w:r>
        <w:t>Se generará la documentación de todo el sistema de control, tanto en ampliaciones del sistema existente como en las instalaciones de nueva construcción.</w:t>
      </w:r>
    </w:p>
    <w:p w:rsidR="00C7085E" w:rsidRDefault="00C7085E" w:rsidP="00B71B1A">
      <w:pPr>
        <w:spacing w:before="120" w:after="240" w:line="276" w:lineRule="auto"/>
        <w:ind w:right="-285"/>
      </w:pPr>
      <w:r>
        <w:t>Se elaborará un manual completo del sistema de control: descripción, construcción, configuración, mantenimiento, fichas de desarrollo, listados de programas, diagramas de flujo y diagramas de proceso e instrumentación.</w:t>
      </w:r>
    </w:p>
    <w:p w:rsidR="00C7085E" w:rsidRDefault="00C7085E" w:rsidP="00B71B1A">
      <w:pPr>
        <w:spacing w:before="120" w:after="240" w:line="276" w:lineRule="auto"/>
        <w:ind w:right="-285"/>
        <w:rPr>
          <w:b/>
          <w:u w:val="single"/>
        </w:rPr>
      </w:pPr>
      <w:r>
        <w:rPr>
          <w:b/>
          <w:u w:val="single"/>
        </w:rPr>
        <w:t>Los modos de funcionamiento serán los siguientes:</w:t>
      </w:r>
    </w:p>
    <w:p w:rsidR="00C7085E" w:rsidRDefault="00C7085E" w:rsidP="00B71B1A">
      <w:pPr>
        <w:spacing w:before="120" w:after="240" w:line="276" w:lineRule="auto"/>
        <w:ind w:right="-285"/>
        <w:rPr>
          <w:u w:val="single"/>
        </w:rPr>
      </w:pPr>
      <w:r>
        <w:rPr>
          <w:u w:val="single"/>
        </w:rPr>
        <w:t>Sistema manual:</w:t>
      </w:r>
    </w:p>
    <w:p w:rsidR="00C7085E" w:rsidRDefault="00C7085E" w:rsidP="00B71B1A">
      <w:pPr>
        <w:spacing w:before="120" w:after="240" w:line="276" w:lineRule="auto"/>
        <w:ind w:right="-285"/>
      </w:pPr>
      <w:r>
        <w:t>Ordenes locales de puesta en funcionamiento sin intervención posible de enclavamiento alguno, excepto de los de protección de máquina.</w:t>
      </w:r>
    </w:p>
    <w:p w:rsidR="00534627" w:rsidRDefault="00534627" w:rsidP="00B71B1A">
      <w:pPr>
        <w:spacing w:before="120" w:after="240" w:line="276" w:lineRule="auto"/>
        <w:ind w:right="-285"/>
      </w:pPr>
    </w:p>
    <w:p w:rsidR="00C7085E" w:rsidRDefault="00C7085E" w:rsidP="00B71B1A">
      <w:pPr>
        <w:spacing w:before="120" w:after="240" w:line="276" w:lineRule="auto"/>
        <w:ind w:right="-285"/>
      </w:pPr>
      <w:r>
        <w:rPr>
          <w:u w:val="single"/>
        </w:rPr>
        <w:lastRenderedPageBreak/>
        <w:t>Sistema redundante</w:t>
      </w:r>
      <w:r>
        <w:t>:</w:t>
      </w:r>
    </w:p>
    <w:p w:rsidR="00C7085E" w:rsidRDefault="00C7085E" w:rsidP="00B71B1A">
      <w:pPr>
        <w:spacing w:before="120" w:after="240" w:line="276" w:lineRule="auto"/>
        <w:ind w:right="-285"/>
      </w:pPr>
      <w:r>
        <w:t>Para el funcionamiento en caso de fallo del autómata. Se conecta automáticamente ante un fallo de éste, y devolverá el control al Autómata Programable cuando se restaure el fallo.</w:t>
      </w:r>
    </w:p>
    <w:p w:rsidR="00C7085E" w:rsidRDefault="00C7085E" w:rsidP="00B71B1A">
      <w:pPr>
        <w:spacing w:before="120" w:after="240" w:line="276" w:lineRule="auto"/>
        <w:ind w:right="-285"/>
      </w:pPr>
      <w:r>
        <w:rPr>
          <w:u w:val="single"/>
        </w:rPr>
        <w:t>Sistema manual desde pantalla</w:t>
      </w:r>
      <w:r>
        <w:t>:</w:t>
      </w:r>
    </w:p>
    <w:p w:rsidR="00C7085E" w:rsidRDefault="00C7085E" w:rsidP="00B71B1A">
      <w:pPr>
        <w:spacing w:before="120" w:after="240" w:line="276" w:lineRule="auto"/>
        <w:ind w:right="-285"/>
      </w:pPr>
      <w:r>
        <w:t>Su actuación es lógicamente idéntica a la de tipo manual de campo. Es decir, los únicos enclavamientos que le afectan son las protecciones propias de cada máquina.</w:t>
      </w:r>
    </w:p>
    <w:p w:rsidR="00C7085E" w:rsidRDefault="00C7085E" w:rsidP="00B71B1A">
      <w:pPr>
        <w:spacing w:before="120" w:after="240" w:line="276" w:lineRule="auto"/>
        <w:ind w:right="-285"/>
      </w:pPr>
      <w:r>
        <w:rPr>
          <w:u w:val="single"/>
        </w:rPr>
        <w:t>Sistema automático</w:t>
      </w:r>
      <w:r>
        <w:t>:</w:t>
      </w:r>
    </w:p>
    <w:p w:rsidR="00C7085E" w:rsidRDefault="00C7085E" w:rsidP="00B71B1A">
      <w:pPr>
        <w:spacing w:before="120" w:after="240" w:line="276" w:lineRule="auto"/>
        <w:ind w:right="-285"/>
      </w:pPr>
      <w:r>
        <w:t xml:space="preserve">Bajo el control total del autómata. Todos los enclavamientos que intervienen son lógicos (excepto protecciones). </w:t>
      </w:r>
    </w:p>
    <w:p w:rsidR="00C7085E" w:rsidRDefault="00C7085E" w:rsidP="00B71B1A">
      <w:pPr>
        <w:spacing w:before="120" w:after="240" w:line="276" w:lineRule="auto"/>
        <w:ind w:right="-285"/>
        <w:rPr>
          <w:b/>
          <w:u w:val="single"/>
        </w:rPr>
      </w:pPr>
      <w:r>
        <w:rPr>
          <w:b/>
          <w:u w:val="single"/>
        </w:rPr>
        <w:t>Secuencias de control</w:t>
      </w:r>
    </w:p>
    <w:p w:rsidR="00C7085E" w:rsidRDefault="00C7085E" w:rsidP="00B71B1A">
      <w:pPr>
        <w:spacing w:before="120" w:after="240" w:line="276" w:lineRule="auto"/>
        <w:ind w:right="-285"/>
        <w:rPr>
          <w:b/>
          <w:u w:val="single"/>
        </w:rPr>
      </w:pPr>
      <w:r>
        <w:t>Las secuencias de control estarán adaptadas y deberán definirse para cada caso específico de instalación. Se utilizaran los documentos tipo de Canal de Isabel II Gestión para cada caso.</w:t>
      </w:r>
      <w:r>
        <w:rPr>
          <w:b/>
          <w:u w:val="single"/>
        </w:rPr>
        <w:t xml:space="preserve"> </w:t>
      </w:r>
    </w:p>
    <w:p w:rsidR="00C7085E" w:rsidRDefault="00C7085E" w:rsidP="00B71B1A">
      <w:pPr>
        <w:spacing w:before="120" w:after="240" w:line="276" w:lineRule="auto"/>
        <w:ind w:right="-285"/>
        <w:rPr>
          <w:b/>
          <w:u w:val="single"/>
        </w:rPr>
      </w:pPr>
      <w:r>
        <w:rPr>
          <w:b/>
          <w:u w:val="single"/>
        </w:rPr>
        <w:t>Software y hardware del sistema de supervisión y mando</w:t>
      </w:r>
    </w:p>
    <w:p w:rsidR="00C7085E" w:rsidRDefault="00C7085E" w:rsidP="00B71B1A">
      <w:pPr>
        <w:spacing w:before="120" w:after="240" w:line="276" w:lineRule="auto"/>
        <w:ind w:right="-285"/>
        <w:rPr>
          <w:u w:val="single"/>
        </w:rPr>
      </w:pPr>
      <w:r>
        <w:rPr>
          <w:u w:val="single"/>
        </w:rPr>
        <w:t>Hardware:</w:t>
      </w:r>
    </w:p>
    <w:p w:rsidR="00C7085E" w:rsidRDefault="00C7085E" w:rsidP="00B71B1A">
      <w:pPr>
        <w:spacing w:before="120" w:after="240" w:line="276" w:lineRule="auto"/>
        <w:ind w:right="-285"/>
      </w:pPr>
      <w:r>
        <w:t>La estructura de supervisión estará formada por un ordenador conectado mediante red ETHERNET. Las características mínimas de este equipo serán:</w:t>
      </w:r>
    </w:p>
    <w:p w:rsidR="00C7085E" w:rsidRDefault="00C7085E" w:rsidP="00B71B1A">
      <w:pPr>
        <w:widowControl/>
        <w:numPr>
          <w:ilvl w:val="0"/>
          <w:numId w:val="12"/>
        </w:numPr>
        <w:spacing w:before="120" w:after="240" w:line="276" w:lineRule="auto"/>
        <w:ind w:right="-285"/>
      </w:pPr>
      <w:r>
        <w:t>La memoria cumplirá sobradamente con las necesidades del paquete de supervisión.</w:t>
      </w:r>
    </w:p>
    <w:p w:rsidR="00C7085E" w:rsidRDefault="00C7085E" w:rsidP="00B71B1A">
      <w:pPr>
        <w:widowControl/>
        <w:numPr>
          <w:ilvl w:val="0"/>
          <w:numId w:val="12"/>
        </w:numPr>
        <w:spacing w:before="120" w:after="240" w:line="276" w:lineRule="auto"/>
        <w:ind w:right="-285"/>
      </w:pPr>
      <w:r>
        <w:t>Soporte magnético interno: cumplirá el estándar mínimo de mercado.</w:t>
      </w:r>
    </w:p>
    <w:p w:rsidR="00C7085E" w:rsidRDefault="00C7085E" w:rsidP="00B71B1A">
      <w:pPr>
        <w:widowControl/>
        <w:numPr>
          <w:ilvl w:val="0"/>
          <w:numId w:val="12"/>
        </w:numPr>
        <w:spacing w:before="120" w:after="240" w:line="276" w:lineRule="auto"/>
        <w:ind w:left="714" w:right="-285" w:hanging="357"/>
      </w:pPr>
      <w:r>
        <w:t>Soporte de red tipo Ethernet.</w:t>
      </w:r>
    </w:p>
    <w:p w:rsidR="00C7085E" w:rsidRDefault="00C7085E" w:rsidP="00B71B1A">
      <w:pPr>
        <w:widowControl/>
        <w:numPr>
          <w:ilvl w:val="0"/>
          <w:numId w:val="12"/>
        </w:numPr>
        <w:spacing w:before="120" w:after="240" w:line="276" w:lineRule="auto"/>
        <w:ind w:right="-285"/>
      </w:pPr>
      <w:r>
        <w:t>Monitor TFT de 21”.</w:t>
      </w:r>
    </w:p>
    <w:p w:rsidR="00C7085E" w:rsidRDefault="00C7085E" w:rsidP="00B71B1A">
      <w:pPr>
        <w:widowControl/>
        <w:numPr>
          <w:ilvl w:val="0"/>
          <w:numId w:val="12"/>
        </w:numPr>
        <w:spacing w:before="120" w:after="240" w:line="276" w:lineRule="auto"/>
        <w:ind w:right="-285"/>
      </w:pPr>
      <w:r>
        <w:t>Impresora: láser color</w:t>
      </w:r>
    </w:p>
    <w:p w:rsidR="00C7085E" w:rsidRDefault="00C7085E" w:rsidP="00B71B1A">
      <w:pPr>
        <w:widowControl/>
        <w:numPr>
          <w:ilvl w:val="0"/>
          <w:numId w:val="12"/>
        </w:numPr>
        <w:spacing w:before="120" w:after="240" w:line="276" w:lineRule="auto"/>
        <w:ind w:right="-285"/>
      </w:pPr>
      <w:r>
        <w:t>Unidad de almacenamiento externa o backup: CD-RW.</w:t>
      </w:r>
    </w:p>
    <w:p w:rsidR="00C7085E" w:rsidRDefault="00C7085E" w:rsidP="00B71B1A">
      <w:pPr>
        <w:widowControl/>
        <w:numPr>
          <w:ilvl w:val="0"/>
          <w:numId w:val="12"/>
        </w:numPr>
        <w:spacing w:before="120" w:after="240" w:line="276" w:lineRule="auto"/>
        <w:ind w:left="714" w:right="-285" w:hanging="357"/>
      </w:pPr>
      <w:r>
        <w:t>Las pantallas ofrecerán una representación del estado del proceso muy detallada, con gráficos, pantallas de alarma, curvas de tendencia y una salida para impresora de agujas. Se atenderá a los documentos tipo Canal de Isabel II Gestión.</w:t>
      </w:r>
    </w:p>
    <w:p w:rsidR="00534627" w:rsidRDefault="00534627" w:rsidP="00534627">
      <w:pPr>
        <w:widowControl/>
        <w:spacing w:before="120" w:after="240" w:line="276" w:lineRule="auto"/>
        <w:ind w:left="714" w:right="-285"/>
      </w:pPr>
    </w:p>
    <w:p w:rsidR="00C7085E" w:rsidRDefault="00C7085E" w:rsidP="00B71B1A">
      <w:pPr>
        <w:spacing w:before="120" w:after="240" w:line="276" w:lineRule="auto"/>
        <w:ind w:right="-285"/>
        <w:rPr>
          <w:u w:val="single"/>
        </w:rPr>
      </w:pPr>
      <w:r>
        <w:rPr>
          <w:u w:val="single"/>
        </w:rPr>
        <w:lastRenderedPageBreak/>
        <w:t>Sistema operativo:</w:t>
      </w:r>
    </w:p>
    <w:p w:rsidR="00C7085E" w:rsidRDefault="00C7085E" w:rsidP="00B71B1A">
      <w:pPr>
        <w:spacing w:before="120" w:after="240" w:line="276" w:lineRule="auto"/>
        <w:ind w:right="-285"/>
      </w:pPr>
      <w:r>
        <w:t>La plataforma se ajustará a la última versión del paquete de supervisión instalado.</w:t>
      </w:r>
    </w:p>
    <w:p w:rsidR="00C7085E" w:rsidRDefault="00C7085E" w:rsidP="00B71B1A">
      <w:pPr>
        <w:spacing w:before="120" w:after="240" w:line="276" w:lineRule="auto"/>
        <w:ind w:right="-285"/>
        <w:rPr>
          <w:u w:val="single"/>
        </w:rPr>
      </w:pPr>
      <w:r>
        <w:rPr>
          <w:u w:val="single"/>
        </w:rPr>
        <w:t>Software de supervisión:</w:t>
      </w:r>
    </w:p>
    <w:p w:rsidR="00C7085E" w:rsidRDefault="00C7085E" w:rsidP="00B71B1A">
      <w:pPr>
        <w:spacing w:before="120" w:after="240" w:line="276" w:lineRule="auto"/>
        <w:ind w:right="-285"/>
        <w:rPr>
          <w:u w:val="single"/>
        </w:rPr>
      </w:pPr>
      <w:r>
        <w:t>El paquete de supervisión ofrecerá como mínimo</w:t>
      </w:r>
      <w:r>
        <w:rPr>
          <w:u w:val="single"/>
        </w:rPr>
        <w:t>:</w:t>
      </w:r>
    </w:p>
    <w:p w:rsidR="00C7085E" w:rsidRDefault="00C7085E" w:rsidP="00B71B1A">
      <w:pPr>
        <w:widowControl/>
        <w:numPr>
          <w:ilvl w:val="0"/>
          <w:numId w:val="12"/>
        </w:numPr>
        <w:spacing w:before="120" w:after="240" w:line="276" w:lineRule="auto"/>
        <w:ind w:right="-285"/>
      </w:pPr>
      <w:r>
        <w:rPr>
          <w:u w:val="single"/>
        </w:rPr>
        <w:t>Arquitectura clie</w:t>
      </w:r>
      <w:r>
        <w:t>nte/servidor.</w:t>
      </w:r>
    </w:p>
    <w:p w:rsidR="00C7085E" w:rsidRDefault="00C7085E" w:rsidP="00B71B1A">
      <w:pPr>
        <w:widowControl/>
        <w:numPr>
          <w:ilvl w:val="0"/>
          <w:numId w:val="12"/>
        </w:numPr>
        <w:spacing w:before="120" w:after="240" w:line="276" w:lineRule="auto"/>
        <w:ind w:right="-285"/>
      </w:pPr>
      <w:r>
        <w:t>Enlaces DDE, OLE y DLL.</w:t>
      </w:r>
    </w:p>
    <w:p w:rsidR="00C7085E" w:rsidRDefault="00C7085E" w:rsidP="00B71B1A">
      <w:pPr>
        <w:widowControl/>
        <w:numPr>
          <w:ilvl w:val="0"/>
          <w:numId w:val="12"/>
        </w:numPr>
        <w:spacing w:before="120" w:after="240" w:line="276" w:lineRule="auto"/>
        <w:ind w:right="-285"/>
      </w:pPr>
      <w:r>
        <w:t>Tratamiento de recetas.</w:t>
      </w:r>
    </w:p>
    <w:p w:rsidR="00C7085E" w:rsidRDefault="00C7085E" w:rsidP="00B71B1A">
      <w:pPr>
        <w:widowControl/>
        <w:numPr>
          <w:ilvl w:val="0"/>
          <w:numId w:val="12"/>
        </w:numPr>
        <w:spacing w:before="120" w:after="240" w:line="276" w:lineRule="auto"/>
        <w:ind w:right="-285"/>
      </w:pPr>
      <w:r>
        <w:t>Tratamiento de gráficos vectoriales y bitmap.</w:t>
      </w:r>
    </w:p>
    <w:p w:rsidR="00C7085E" w:rsidRDefault="00C7085E" w:rsidP="00B71B1A">
      <w:pPr>
        <w:widowControl/>
        <w:numPr>
          <w:ilvl w:val="0"/>
          <w:numId w:val="12"/>
        </w:numPr>
        <w:spacing w:before="120" w:after="240" w:line="276" w:lineRule="auto"/>
        <w:ind w:right="-285"/>
      </w:pPr>
      <w:r>
        <w:t>Protocolos estándar de las principales marcas de PLC’s.</w:t>
      </w:r>
    </w:p>
    <w:p w:rsidR="00C7085E" w:rsidRDefault="00C7085E" w:rsidP="00B71B1A">
      <w:pPr>
        <w:spacing w:before="120" w:after="240" w:line="276" w:lineRule="auto"/>
        <w:ind w:right="-285"/>
      </w:pPr>
      <w:r>
        <w:t>La aplicación de supervisión contará con las siguientes utilidades como mínimo:</w:t>
      </w:r>
    </w:p>
    <w:p w:rsidR="00C7085E" w:rsidRDefault="00C7085E" w:rsidP="00B71B1A">
      <w:pPr>
        <w:widowControl/>
        <w:numPr>
          <w:ilvl w:val="0"/>
          <w:numId w:val="12"/>
        </w:numPr>
        <w:spacing w:before="120" w:after="240" w:line="276" w:lineRule="auto"/>
        <w:ind w:right="-285"/>
      </w:pPr>
      <w:r>
        <w:t>Gráficas de proceso.</w:t>
      </w:r>
    </w:p>
    <w:p w:rsidR="00C7085E" w:rsidRDefault="00C7085E" w:rsidP="00B71B1A">
      <w:pPr>
        <w:widowControl/>
        <w:numPr>
          <w:ilvl w:val="0"/>
          <w:numId w:val="12"/>
        </w:numPr>
        <w:spacing w:before="120" w:after="240" w:line="276" w:lineRule="auto"/>
        <w:ind w:left="714" w:right="-285" w:hanging="357"/>
      </w:pPr>
      <w:r>
        <w:t>Curvas de tendencia en tiempo real.</w:t>
      </w:r>
    </w:p>
    <w:p w:rsidR="00C7085E" w:rsidRDefault="00C7085E" w:rsidP="00B71B1A">
      <w:pPr>
        <w:widowControl/>
        <w:numPr>
          <w:ilvl w:val="0"/>
          <w:numId w:val="12"/>
        </w:numPr>
        <w:spacing w:before="120" w:after="240" w:line="276" w:lineRule="auto"/>
        <w:ind w:left="714" w:right="-285" w:hanging="357"/>
      </w:pPr>
      <w:r>
        <w:t>Alarmas en tiempo real.</w:t>
      </w:r>
    </w:p>
    <w:p w:rsidR="00C7085E" w:rsidRDefault="00C7085E" w:rsidP="00B71B1A">
      <w:pPr>
        <w:widowControl/>
        <w:numPr>
          <w:ilvl w:val="0"/>
          <w:numId w:val="12"/>
        </w:numPr>
        <w:spacing w:before="120" w:after="240" w:line="276" w:lineRule="auto"/>
        <w:ind w:left="714" w:right="-285" w:hanging="357"/>
      </w:pPr>
      <w:r>
        <w:t>Tratamiento de datos históricos (datos, alarmas, etc).</w:t>
      </w:r>
    </w:p>
    <w:p w:rsidR="00C7085E" w:rsidRDefault="00C7085E" w:rsidP="00B71B1A">
      <w:pPr>
        <w:widowControl/>
        <w:numPr>
          <w:ilvl w:val="0"/>
          <w:numId w:val="12"/>
        </w:numPr>
        <w:spacing w:before="120" w:after="240" w:line="276" w:lineRule="auto"/>
        <w:ind w:left="714" w:right="-285" w:hanging="357"/>
      </w:pPr>
      <w:r>
        <w:t>Seguridad: claves y niveles de acceso.</w:t>
      </w:r>
    </w:p>
    <w:p w:rsidR="00C7085E" w:rsidRDefault="00C7085E" w:rsidP="00B71B1A">
      <w:pPr>
        <w:widowControl/>
        <w:numPr>
          <w:ilvl w:val="0"/>
          <w:numId w:val="12"/>
        </w:numPr>
        <w:spacing w:before="120" w:after="240" w:line="276" w:lineRule="auto"/>
        <w:ind w:left="714" w:right="-285" w:hanging="357"/>
      </w:pPr>
      <w:r>
        <w:t>Generación de informes diarios, semanales, mensuales.</w:t>
      </w:r>
    </w:p>
    <w:p w:rsidR="00C7085E" w:rsidRDefault="00C7085E" w:rsidP="00B71B1A">
      <w:pPr>
        <w:widowControl/>
        <w:numPr>
          <w:ilvl w:val="0"/>
          <w:numId w:val="12"/>
        </w:numPr>
        <w:spacing w:before="120" w:after="240" w:line="276" w:lineRule="auto"/>
        <w:ind w:left="714" w:right="-285" w:hanging="357"/>
      </w:pPr>
      <w:r>
        <w:t>Cálculos.</w:t>
      </w:r>
    </w:p>
    <w:p w:rsidR="00C7085E" w:rsidRDefault="00C7085E" w:rsidP="00B71B1A">
      <w:pPr>
        <w:widowControl/>
        <w:numPr>
          <w:ilvl w:val="0"/>
          <w:numId w:val="12"/>
        </w:numPr>
        <w:spacing w:before="120" w:after="240" w:line="276" w:lineRule="auto"/>
        <w:ind w:left="714" w:right="-285" w:hanging="357"/>
      </w:pPr>
      <w:r>
        <w:t>Contadores de horas de funcionamiento.</w:t>
      </w:r>
    </w:p>
    <w:p w:rsidR="00C7085E" w:rsidRDefault="00C7085E" w:rsidP="00B71B1A">
      <w:pPr>
        <w:widowControl/>
        <w:numPr>
          <w:ilvl w:val="0"/>
          <w:numId w:val="12"/>
        </w:numPr>
        <w:spacing w:before="120" w:after="240" w:line="276" w:lineRule="auto"/>
        <w:ind w:left="714" w:right="-285" w:hanging="357"/>
      </w:pPr>
      <w:r>
        <w:t>Contadores de nº de maniobras.</w:t>
      </w:r>
    </w:p>
    <w:p w:rsidR="00C7085E" w:rsidRDefault="00C7085E" w:rsidP="00B71B1A">
      <w:pPr>
        <w:widowControl/>
        <w:numPr>
          <w:ilvl w:val="0"/>
          <w:numId w:val="12"/>
        </w:numPr>
        <w:spacing w:before="120" w:after="240" w:line="276" w:lineRule="auto"/>
        <w:ind w:left="714" w:right="-285" w:hanging="357"/>
      </w:pPr>
      <w:r>
        <w:t>Totalizadores.</w:t>
      </w:r>
    </w:p>
    <w:p w:rsidR="00C7085E" w:rsidRDefault="00C7085E" w:rsidP="00B71B1A">
      <w:pPr>
        <w:widowControl/>
        <w:numPr>
          <w:ilvl w:val="0"/>
          <w:numId w:val="12"/>
        </w:numPr>
        <w:spacing w:before="120" w:after="240" w:line="276" w:lineRule="auto"/>
        <w:ind w:left="714" w:right="-285" w:hanging="357"/>
      </w:pPr>
      <w:r>
        <w:t>Información sobre variables.</w:t>
      </w:r>
    </w:p>
    <w:p w:rsidR="00C7085E" w:rsidRDefault="00C7085E" w:rsidP="00B71B1A">
      <w:pPr>
        <w:widowControl/>
        <w:numPr>
          <w:ilvl w:val="0"/>
          <w:numId w:val="12"/>
        </w:numPr>
        <w:spacing w:before="120" w:after="240" w:line="276" w:lineRule="auto"/>
        <w:ind w:left="714" w:right="-285" w:hanging="357"/>
      </w:pPr>
      <w:r>
        <w:t>Situación energética de la planta.</w:t>
      </w:r>
    </w:p>
    <w:p w:rsidR="00C7085E" w:rsidRDefault="00C7085E" w:rsidP="00B71B1A">
      <w:pPr>
        <w:widowControl/>
        <w:numPr>
          <w:ilvl w:val="0"/>
          <w:numId w:val="12"/>
        </w:numPr>
        <w:spacing w:before="120" w:after="240" w:line="276" w:lineRule="auto"/>
        <w:ind w:left="714" w:right="-285" w:hanging="357"/>
      </w:pPr>
      <w:r>
        <w:t>Modificación de rangos de señales analógicas.</w:t>
      </w:r>
    </w:p>
    <w:p w:rsidR="00C7085E" w:rsidRDefault="00C7085E" w:rsidP="00B71B1A">
      <w:pPr>
        <w:spacing w:before="120" w:after="240" w:line="276" w:lineRule="auto"/>
        <w:ind w:right="-285"/>
      </w:pPr>
      <w:r>
        <w:t>Se instalará un sistema de almacenamiento periódico de datos.</w:t>
      </w:r>
    </w:p>
    <w:p w:rsidR="00534627" w:rsidRDefault="00534627" w:rsidP="00B71B1A">
      <w:pPr>
        <w:spacing w:before="120" w:after="240" w:line="276" w:lineRule="auto"/>
        <w:ind w:right="-285"/>
      </w:pPr>
    </w:p>
    <w:p w:rsidR="00C7085E" w:rsidRDefault="00C7085E" w:rsidP="00B71B1A">
      <w:pPr>
        <w:pStyle w:val="Ttulo4"/>
        <w:keepNext w:val="0"/>
        <w:widowControl/>
        <w:numPr>
          <w:ilvl w:val="3"/>
          <w:numId w:val="5"/>
        </w:numPr>
        <w:suppressAutoHyphens/>
        <w:autoSpaceDE/>
        <w:autoSpaceDN/>
        <w:adjustRightInd/>
        <w:spacing w:before="120" w:after="240" w:line="276" w:lineRule="auto"/>
        <w:ind w:left="482" w:right="-285" w:hanging="142"/>
      </w:pPr>
      <w:r>
        <w:lastRenderedPageBreak/>
        <w:t>Protocolo de pruebas: señales y frecuencias</w:t>
      </w:r>
    </w:p>
    <w:p w:rsidR="00C7085E" w:rsidRDefault="00C7085E" w:rsidP="00B71B1A">
      <w:pPr>
        <w:spacing w:before="120" w:after="240" w:line="276" w:lineRule="auto"/>
        <w:ind w:right="-285"/>
      </w:pPr>
      <w:r>
        <w:t>Para asegurar un correcto funcionamiento de las lógicas de control y de las aplicaciones desarrolladas se realizarán las siguientes tareas:</w:t>
      </w:r>
    </w:p>
    <w:p w:rsidR="00C7085E" w:rsidRDefault="00C7085E" w:rsidP="00B71B1A">
      <w:pPr>
        <w:widowControl/>
        <w:numPr>
          <w:ilvl w:val="0"/>
          <w:numId w:val="12"/>
        </w:numPr>
        <w:suppressAutoHyphens/>
        <w:spacing w:before="120" w:after="240" w:line="276" w:lineRule="auto"/>
        <w:ind w:left="714" w:right="-285" w:hanging="357"/>
      </w:pPr>
      <w:r>
        <w:t>Se comprobará que el desarrollo software realiza todas las funciones definidas en el proyecto, tanto en las programaciones de PLCs como en el sistema SCADA.</w:t>
      </w:r>
    </w:p>
    <w:p w:rsidR="00C7085E" w:rsidRDefault="00C7085E" w:rsidP="00B71B1A">
      <w:pPr>
        <w:widowControl/>
        <w:numPr>
          <w:ilvl w:val="0"/>
          <w:numId w:val="12"/>
        </w:numPr>
        <w:suppressAutoHyphens/>
        <w:spacing w:before="120" w:after="240" w:line="276" w:lineRule="auto"/>
        <w:ind w:left="714" w:right="-285" w:hanging="357"/>
      </w:pPr>
      <w:r>
        <w:t>Se comprobarán los mecanismos de seguridad con que se cuenta ante situaciones anómalas tales como datos, órdenes o mensajes de comunicación erróneos.</w:t>
      </w:r>
    </w:p>
    <w:p w:rsidR="00C7085E" w:rsidRDefault="00C7085E" w:rsidP="00B71B1A">
      <w:pPr>
        <w:widowControl/>
        <w:numPr>
          <w:ilvl w:val="0"/>
          <w:numId w:val="12"/>
        </w:numPr>
        <w:suppressAutoHyphens/>
        <w:spacing w:before="120" w:after="240" w:line="276" w:lineRule="auto"/>
        <w:ind w:left="714" w:right="-285" w:hanging="357"/>
      </w:pPr>
      <w:r>
        <w:t>Se verificará el funcionamiento del interfaz de usuario.</w:t>
      </w:r>
    </w:p>
    <w:p w:rsidR="00C7085E" w:rsidRDefault="00C7085E" w:rsidP="00B71B1A">
      <w:pPr>
        <w:widowControl/>
        <w:numPr>
          <w:ilvl w:val="0"/>
          <w:numId w:val="12"/>
        </w:numPr>
        <w:suppressAutoHyphens/>
        <w:spacing w:before="120" w:after="240" w:line="276" w:lineRule="auto"/>
        <w:ind w:right="-285"/>
      </w:pPr>
      <w:r>
        <w:t>Se verificará de la potencia y de la precisión de cálculo.</w:t>
      </w:r>
    </w:p>
    <w:p w:rsidR="00C7085E" w:rsidRDefault="00C7085E" w:rsidP="00B71B1A">
      <w:pPr>
        <w:widowControl/>
        <w:numPr>
          <w:ilvl w:val="0"/>
          <w:numId w:val="12"/>
        </w:numPr>
        <w:suppressAutoHyphens/>
        <w:spacing w:before="120" w:after="240" w:line="276" w:lineRule="auto"/>
        <w:ind w:right="-285"/>
      </w:pPr>
      <w:r>
        <w:t>Se comprobará la capacidad de manejo de los procesos funcionales de comunicaciones y adquisición de datos.</w:t>
      </w:r>
    </w:p>
    <w:p w:rsidR="00C7085E" w:rsidRDefault="00C7085E" w:rsidP="00B71B1A">
      <w:pPr>
        <w:widowControl/>
        <w:numPr>
          <w:ilvl w:val="0"/>
          <w:numId w:val="12"/>
        </w:numPr>
        <w:suppressAutoHyphens/>
        <w:spacing w:before="120" w:after="240" w:line="276" w:lineRule="auto"/>
        <w:ind w:right="-285"/>
      </w:pPr>
      <w:r>
        <w:t>Pruebas de señales analógicas y digitales en todo su recorrido.</w:t>
      </w:r>
    </w:p>
    <w:p w:rsidR="00C7085E" w:rsidRDefault="00C7085E" w:rsidP="00B71B1A">
      <w:pPr>
        <w:widowControl/>
        <w:numPr>
          <w:ilvl w:val="0"/>
          <w:numId w:val="12"/>
        </w:numPr>
        <w:suppressAutoHyphens/>
        <w:spacing w:before="120" w:after="240" w:line="276" w:lineRule="auto"/>
        <w:ind w:right="-285"/>
      </w:pPr>
      <w:r>
        <w:t>Pruebas de secuencias</w:t>
      </w:r>
    </w:p>
    <w:p w:rsidR="00C7085E" w:rsidRDefault="00C7085E" w:rsidP="00B71B1A">
      <w:pPr>
        <w:widowControl/>
        <w:numPr>
          <w:ilvl w:val="0"/>
          <w:numId w:val="12"/>
        </w:numPr>
        <w:suppressAutoHyphens/>
        <w:spacing w:before="120" w:after="240" w:line="276" w:lineRule="auto"/>
        <w:ind w:right="-285"/>
      </w:pPr>
      <w:r>
        <w:t>Generación de la documentación de control:</w:t>
      </w:r>
    </w:p>
    <w:p w:rsidR="00C7085E" w:rsidRDefault="00C7085E" w:rsidP="00B71B1A">
      <w:pPr>
        <w:widowControl/>
        <w:numPr>
          <w:ilvl w:val="1"/>
          <w:numId w:val="12"/>
        </w:numPr>
        <w:suppressAutoHyphens/>
        <w:spacing w:before="120" w:after="240" w:line="276" w:lineRule="auto"/>
        <w:ind w:right="-285"/>
      </w:pPr>
      <w:r>
        <w:t>Copia de programas plc, sin clave</w:t>
      </w:r>
    </w:p>
    <w:p w:rsidR="00C7085E" w:rsidRDefault="00C7085E" w:rsidP="00B71B1A">
      <w:pPr>
        <w:widowControl/>
        <w:numPr>
          <w:ilvl w:val="1"/>
          <w:numId w:val="12"/>
        </w:numPr>
        <w:suppressAutoHyphens/>
        <w:spacing w:before="120" w:after="240" w:line="276" w:lineRule="auto"/>
        <w:ind w:right="-285"/>
      </w:pPr>
      <w:r>
        <w:t>Copia de supervisor, sin clave</w:t>
      </w:r>
    </w:p>
    <w:p w:rsidR="00C7085E" w:rsidRDefault="00C7085E" w:rsidP="00B71B1A">
      <w:pPr>
        <w:widowControl/>
        <w:numPr>
          <w:ilvl w:val="1"/>
          <w:numId w:val="12"/>
        </w:numPr>
        <w:suppressAutoHyphens/>
        <w:spacing w:before="120" w:after="240" w:line="276" w:lineRule="auto"/>
        <w:ind w:right="-285"/>
      </w:pPr>
      <w:r>
        <w:t>Listado de señales entrada/salida</w:t>
      </w:r>
    </w:p>
    <w:p w:rsidR="00C7085E" w:rsidRDefault="00C7085E" w:rsidP="00B71B1A">
      <w:pPr>
        <w:widowControl/>
        <w:numPr>
          <w:ilvl w:val="1"/>
          <w:numId w:val="12"/>
        </w:numPr>
        <w:suppressAutoHyphens/>
        <w:spacing w:before="120" w:after="240" w:line="276" w:lineRule="auto"/>
        <w:ind w:right="-285"/>
      </w:pPr>
      <w:r>
        <w:t>Diagrama de control con todos sus elementos</w:t>
      </w:r>
    </w:p>
    <w:p w:rsidR="00C7085E" w:rsidRDefault="00C7085E" w:rsidP="00B71B1A">
      <w:pPr>
        <w:widowControl/>
        <w:numPr>
          <w:ilvl w:val="1"/>
          <w:numId w:val="12"/>
        </w:numPr>
        <w:suppressAutoHyphens/>
        <w:spacing w:before="120" w:after="240" w:line="276" w:lineRule="auto"/>
        <w:ind w:right="-285"/>
      </w:pPr>
      <w:r>
        <w:t>Esquemas eléctricos plc</w:t>
      </w:r>
    </w:p>
    <w:p w:rsidR="00C7085E" w:rsidRDefault="00C7085E" w:rsidP="00B71B1A">
      <w:pPr>
        <w:widowControl/>
        <w:numPr>
          <w:ilvl w:val="1"/>
          <w:numId w:val="12"/>
        </w:numPr>
        <w:suppressAutoHyphens/>
        <w:spacing w:before="120" w:after="240" w:line="276" w:lineRule="auto"/>
        <w:ind w:right="-285"/>
      </w:pPr>
      <w:r>
        <w:t>Licencias originales (supervisor, sistema operativo, etc.)</w:t>
      </w:r>
    </w:p>
    <w:p w:rsidR="00C7085E" w:rsidRDefault="00C7085E" w:rsidP="00B71B1A">
      <w:pPr>
        <w:widowControl/>
        <w:numPr>
          <w:ilvl w:val="1"/>
          <w:numId w:val="12"/>
        </w:numPr>
        <w:suppressAutoHyphens/>
        <w:spacing w:before="120" w:after="240" w:line="276" w:lineRule="auto"/>
        <w:ind w:right="-285"/>
      </w:pPr>
      <w:r>
        <w:t xml:space="preserve">Copia firmada y sellada de las pruebas de señales y secuencias </w:t>
      </w:r>
    </w:p>
    <w:p w:rsidR="00C7085E" w:rsidRDefault="00C7085E" w:rsidP="00B71B1A">
      <w:pPr>
        <w:spacing w:before="120" w:after="240" w:line="276" w:lineRule="auto"/>
        <w:ind w:right="-285"/>
        <w:jc w:val="left"/>
      </w:pPr>
      <w:r>
        <w:br w:type="page"/>
      </w:r>
    </w:p>
    <w:p w:rsidR="00C7085E" w:rsidRPr="00EF3DE9" w:rsidRDefault="00C7085E" w:rsidP="00B71B1A">
      <w:pPr>
        <w:pStyle w:val="Ttulo1"/>
        <w:pageBreakBefore/>
        <w:suppressAutoHyphens/>
        <w:spacing w:before="0" w:after="240" w:line="276" w:lineRule="auto"/>
        <w:ind w:left="1985" w:right="-285" w:hanging="1985"/>
        <w:jc w:val="both"/>
        <w:rPr>
          <w:szCs w:val="20"/>
        </w:rPr>
      </w:pPr>
      <w:bookmarkStart w:id="882" w:name="_Toc448741539"/>
      <w:r w:rsidRPr="00EF3DE9">
        <w:rPr>
          <w:szCs w:val="20"/>
        </w:rPr>
        <w:lastRenderedPageBreak/>
        <w:t>SEGURIDAD Y SALUD EN LAS INSTALACIONES</w:t>
      </w:r>
      <w:bookmarkEnd w:id="882"/>
    </w:p>
    <w:p w:rsidR="00894B2B" w:rsidRPr="00A9273B" w:rsidRDefault="00894B2B" w:rsidP="00B71B1A">
      <w:pPr>
        <w:pStyle w:val="Prrafodelista"/>
        <w:numPr>
          <w:ilvl w:val="0"/>
          <w:numId w:val="5"/>
        </w:numPr>
        <w:tabs>
          <w:tab w:val="left" w:pos="567"/>
        </w:tabs>
        <w:spacing w:after="0"/>
        <w:ind w:right="-285"/>
        <w:contextualSpacing w:val="0"/>
        <w:outlineLvl w:val="2"/>
        <w:rPr>
          <w:rFonts w:ascii="Arial Negrita" w:eastAsia="Times New Roman" w:hAnsi="Arial Negrita" w:cs="Times New Roman"/>
          <w:b/>
          <w:snapToGrid w:val="0"/>
          <w:vanish/>
          <w:sz w:val="2"/>
          <w:szCs w:val="2"/>
          <w:lang w:eastAsia="es-ES"/>
        </w:rPr>
      </w:pPr>
    </w:p>
    <w:p w:rsidR="00894B2B" w:rsidRPr="00A9273B" w:rsidRDefault="00894B2B" w:rsidP="00B71B1A">
      <w:pPr>
        <w:pStyle w:val="Prrafodelista"/>
        <w:numPr>
          <w:ilvl w:val="1"/>
          <w:numId w:val="5"/>
        </w:numPr>
        <w:tabs>
          <w:tab w:val="left" w:pos="567"/>
        </w:tabs>
        <w:snapToGrid w:val="0"/>
        <w:spacing w:after="0"/>
        <w:ind w:right="-285"/>
        <w:contextualSpacing w:val="0"/>
        <w:outlineLvl w:val="2"/>
        <w:rPr>
          <w:rFonts w:ascii="Arial Negrita" w:eastAsia="Times New Roman" w:hAnsi="Arial Negrita" w:cs="Times New Roman"/>
          <w:b/>
          <w:snapToGrid w:val="0"/>
          <w:vanish/>
          <w:sz w:val="2"/>
          <w:szCs w:val="2"/>
          <w:lang w:eastAsia="es-ES"/>
        </w:rPr>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right="-285"/>
      </w:pPr>
      <w:bookmarkStart w:id="883" w:name="_Toc448741540"/>
      <w:r>
        <w:t>Generalidades</w:t>
      </w:r>
      <w:bookmarkEnd w:id="883"/>
    </w:p>
    <w:p w:rsidR="00C7085E" w:rsidRDefault="00C7085E" w:rsidP="00B71B1A">
      <w:pPr>
        <w:spacing w:before="120" w:after="240" w:line="276" w:lineRule="auto"/>
        <w:ind w:right="-285"/>
      </w:pPr>
      <w:r>
        <w:t>Todas las instalaciones deberán cumplir la legislación vigente en materia de seguridad y salud en el trabajo en lo que les fuera aplicable, así como lo contemplado en la Parte I, Capítulo 3 del Real Decreto 314/2006 por el que se aprueba el Código Técnico de la Edificación.</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84" w:name="_Toc448741541"/>
      <w:r>
        <w:t>Plataformas, escaleras, soportes y barandillas</w:t>
      </w:r>
      <w:bookmarkEnd w:id="884"/>
    </w:p>
    <w:p w:rsidR="00C7085E" w:rsidRDefault="00C7085E" w:rsidP="00B71B1A">
      <w:pPr>
        <w:spacing w:before="120" w:after="240" w:line="276" w:lineRule="auto"/>
        <w:ind w:right="-285"/>
      </w:pPr>
      <w:r>
        <w:t>El Adjudicatario deberá disponer las plataformas y escaleras necesarias para hacer perfectamente accesibles todos los elementos de medición y control, tales como manómetros, niveles, válvulas, registros, etc. En especial cualquier lugar de la instalación que deba ser objeto de un recorrido periódico del personal de operación deberá tener un acceso fácil y cómodo. Las plataformas y escaleras deberán tener en cualquier caso una anchura mínima de cien centímetros (100 cm) de paso libre. Las pasarelas y escaleras deberán llevar barandillas a ambos lados en los sitios que lo requieran, siendo éstas de material rígido y con una altura mínima de cien centímetros (100 cm). Además dispondrán de una protección que impida el paso o deslizamiento por debajo de las mismas y la caída de objetos sobre personas.</w:t>
      </w:r>
    </w:p>
    <w:p w:rsidR="00C7085E" w:rsidRDefault="00C7085E" w:rsidP="00B71B1A">
      <w:pPr>
        <w:spacing w:before="120" w:after="240" w:line="276" w:lineRule="auto"/>
        <w:ind w:right="-285"/>
      </w:pPr>
      <w:r>
        <w:t>En general, todo lugar de paso o trabajo cuya altura respecto a las superficies circundantes sea igual o superior a sesenta centímetros (60 cm) deberá ser protegido con barandillas. Se dispondrán todos los soportes y sujeciones que sean necesarios.</w:t>
      </w:r>
    </w:p>
    <w:p w:rsidR="00C7085E" w:rsidRDefault="00C7085E" w:rsidP="00B71B1A">
      <w:pPr>
        <w:spacing w:before="120" w:after="240" w:line="276" w:lineRule="auto"/>
        <w:ind w:right="-285"/>
      </w:pPr>
      <w:r>
        <w:t>Los lados cerrados tendrán un pasamanos, a una altura mínima de noventa centímetros (90 cm), si la anchura de la escalera es mayor de ciento veinte centímetros (120 cm); si es menor, pero ambos lados son cerrados, al menos uno de los dos llevará pasamanos.</w:t>
      </w:r>
    </w:p>
    <w:p w:rsidR="00C7085E" w:rsidRDefault="00C7085E" w:rsidP="00B71B1A">
      <w:pPr>
        <w:spacing w:before="120" w:after="240" w:line="276" w:lineRule="auto"/>
        <w:ind w:right="-285"/>
      </w:pPr>
      <w:r>
        <w:t>La construcción del suelo de escaleras, pasarelas y plataformas deberá ser fijo, estable y no resbaladizo, construido en trámex de doble pletina de 30x30 mm, con un tratamiento superficial que impida el deslizamiento, debiendo estar diseñadas para soportar el peso de operarios, herramientas y partes de la instalación que se puedan colocar sobre ellos durante el montaje y las revisiones periódicas.</w:t>
      </w:r>
    </w:p>
    <w:p w:rsidR="00C7085E" w:rsidRDefault="00C7085E" w:rsidP="00B71B1A">
      <w:pPr>
        <w:spacing w:before="120" w:after="240" w:line="276" w:lineRule="auto"/>
        <w:ind w:right="-285"/>
      </w:pPr>
      <w:r>
        <w:t>Todas las zonas de paso de peatones por la parte inferior de escaleras, pasarelas y plataformas, deberán llevar incorporado en el tramex de doble pletina, un pavimento perforado cuya abertura máxima de los intersticios será de ocho milímetros (8 mm).</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85" w:name="_Toc448741542"/>
      <w:r>
        <w:t>Zonas resbaladizas</w:t>
      </w:r>
      <w:bookmarkEnd w:id="885"/>
    </w:p>
    <w:p w:rsidR="00C7085E" w:rsidRDefault="00C7085E" w:rsidP="00B71B1A">
      <w:pPr>
        <w:spacing w:before="120" w:after="240" w:line="276" w:lineRule="auto"/>
        <w:ind w:right="-285"/>
      </w:pPr>
      <w:r>
        <w:t>El Adjudicatario detallará el tratamiento especial que dará a los suelos de aquellas zonas que por razones del mantenimiento puedan representar peligro de resbalones y caídas debido a hielo, humedad, etc.</w:t>
      </w:r>
    </w:p>
    <w:p w:rsidR="00534627" w:rsidRDefault="00534627"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86" w:name="_Toc414021887"/>
      <w:bookmarkStart w:id="887" w:name="_Toc448741543"/>
      <w:r>
        <w:lastRenderedPageBreak/>
        <w:t>Nivel de ruidos de los equipos</w:t>
      </w:r>
      <w:bookmarkEnd w:id="886"/>
      <w:bookmarkEnd w:id="887"/>
    </w:p>
    <w:p w:rsidR="00C7085E" w:rsidRDefault="00C7085E" w:rsidP="00B71B1A">
      <w:pPr>
        <w:keepNext/>
        <w:spacing w:before="120" w:after="240" w:line="276" w:lineRule="auto"/>
        <w:ind w:right="-285"/>
      </w:pPr>
      <w:r>
        <w:t>Los niveles de ruido se medirán y expresarán en decibelios con ponderación normalizada A, dB (A).</w:t>
      </w:r>
    </w:p>
    <w:p w:rsidR="00C7085E" w:rsidRDefault="00C7085E" w:rsidP="00B71B1A">
      <w:pPr>
        <w:spacing w:before="120" w:after="240" w:line="276" w:lineRule="auto"/>
        <w:ind w:right="-285"/>
      </w:pPr>
      <w:r>
        <w:t>Todos los equipos una vez instalados deberán cumplir la normativa vigente en materia de ruidos.</w:t>
      </w:r>
    </w:p>
    <w:p w:rsidR="00C7085E" w:rsidRDefault="00C7085E" w:rsidP="00B71B1A">
      <w:pPr>
        <w:spacing w:before="120" w:after="240" w:line="276" w:lineRule="auto"/>
        <w:ind w:right="-285"/>
      </w:pPr>
      <w:r>
        <w:t>El nivel de ruido será inferior a 80 dB en el exterior de locales que alberguen máquinas, para lo cual se asegurará un aislamiento acústico adecuado de los mismos, a fin de evitar la transmisión de ruidos y vibraciones al exterior, así como de garantizar el cumplimiento de la normativa que al respecto le sea de aplicación.</w:t>
      </w:r>
    </w:p>
    <w:p w:rsidR="00C7085E" w:rsidRDefault="00C7085E" w:rsidP="00B71B1A">
      <w:pPr>
        <w:spacing w:before="120" w:after="240" w:line="276" w:lineRule="auto"/>
        <w:ind w:right="-285"/>
      </w:pPr>
      <w:r>
        <w:t>Si el local que alberga las máquinas requiere acceso frecuente por parte del personal de operación y mantenimiento, deberán disponerse los oportunos silenciadores, acoplamientos elásticos y cuantos elementos se consideren necesarios a fin de disminuir el nivel de ruido a la cifra antes indicada. De no ser posible alcanzar el nivel de ruido mencionado se emplearán obligatoriamente dispositivos de protección personal de acuerdo con la normativa vigente.</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88" w:name="_Toc448741544"/>
      <w:r>
        <w:t>Aislamiento térmico</w:t>
      </w:r>
      <w:bookmarkEnd w:id="888"/>
    </w:p>
    <w:p w:rsidR="00C7085E" w:rsidRDefault="00C7085E" w:rsidP="00B71B1A">
      <w:pPr>
        <w:spacing w:before="120" w:after="240" w:line="276" w:lineRule="auto"/>
        <w:ind w:right="-285"/>
      </w:pPr>
      <w:r>
        <w:t>La superficie exterior de todas aquellas partes de la instalación en cuyo interior se puedan producir condensaciones o congelaciones si la temperatura baja de cero grados centígrados (0º C) o la de aquellas que por su temperatura interior puedan alcanzar los cuarenta grados centígrados (40º C) se aislarán térmicamente.</w:t>
      </w:r>
    </w:p>
    <w:p w:rsidR="00C7085E" w:rsidRDefault="00C7085E" w:rsidP="00B71B1A">
      <w:pPr>
        <w:spacing w:before="120" w:after="240" w:line="276" w:lineRule="auto"/>
        <w:ind w:right="-285"/>
      </w:pPr>
      <w:r>
        <w:t>Todo el material empleado para aislamiento térmico será inerte químicamente y continuará con tal propiedad después de haber sido saturado de agua. El Adjudicatario proporcionará la documentación técnica con las características del aislamiento térmico que se propone emplear en las diversas partes de la instalación y elementos auxiliares: clase de material, espesor, etc.</w:t>
      </w:r>
    </w:p>
    <w:p w:rsidR="00C7085E" w:rsidRDefault="00C7085E" w:rsidP="00B71B1A">
      <w:pPr>
        <w:spacing w:before="120" w:after="240" w:line="276" w:lineRule="auto"/>
        <w:ind w:right="-285"/>
      </w:pPr>
      <w:r>
        <w:t>Antes de aplicar el aislamiento se limpiarán las superficies a calorifugar y se les dará una capa de minio rojo como imprimación.</w:t>
      </w:r>
    </w:p>
    <w:p w:rsidR="00C7085E" w:rsidRDefault="00C7085E" w:rsidP="00B71B1A">
      <w:pPr>
        <w:spacing w:before="120" w:after="240" w:line="276" w:lineRule="auto"/>
        <w:ind w:right="-285"/>
      </w:pPr>
      <w:r>
        <w:t>Después de concluir la operación de aislamiento de las tuberías, se recubrirán con chapa de acero suave galvanizado o con hoja de aluminio de primera calidad sujeta en forma adecuada para evitar flexión, pandeo o vibraciones. Si las tuberías son interiores y de diámetro menor de 6" el recubrimiento puede ser de PVC.</w:t>
      </w:r>
    </w:p>
    <w:p w:rsidR="00C7085E" w:rsidRDefault="00C7085E" w:rsidP="00B71B1A">
      <w:pPr>
        <w:spacing w:before="120" w:after="240" w:line="276" w:lineRule="auto"/>
        <w:ind w:right="-285"/>
      </w:pPr>
      <w:r>
        <w:t>Todas las válvulas, bridas y accesorios irán cerrados dentro de cajas aisladas desmontables.</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89" w:name="_Toc448741545"/>
      <w:r>
        <w:t>Instalaciones de manutención</w:t>
      </w:r>
      <w:bookmarkEnd w:id="889"/>
    </w:p>
    <w:p w:rsidR="00C7085E" w:rsidRDefault="00C7085E" w:rsidP="00B71B1A">
      <w:pPr>
        <w:spacing w:before="120" w:after="240" w:line="276" w:lineRule="auto"/>
        <w:ind w:right="-285"/>
      </w:pPr>
      <w:r>
        <w:t xml:space="preserve">En las instalaciones, el Adjudicatario deberá establecer el número y clase de elementos mecánicos y eléctricos de manutención que aseguren el poder efectuar sin esfuerzo físico </w:t>
      </w:r>
      <w:r>
        <w:lastRenderedPageBreak/>
        <w:t>la manipulación y/o transporte de cualquier clase de piezas, aparatos o recipientes con un peso mayor de veinticinco kilogramos (25 kg).</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90" w:name="_Toc448741546"/>
      <w:r>
        <w:t>Atmósferas explosivas</w:t>
      </w:r>
      <w:bookmarkEnd w:id="890"/>
    </w:p>
    <w:p w:rsidR="00C7085E" w:rsidRDefault="00C7085E" w:rsidP="00B71B1A">
      <w:pPr>
        <w:spacing w:before="120" w:after="240" w:line="276" w:lineRule="auto"/>
        <w:ind w:right="-285"/>
      </w:pPr>
      <w:r>
        <w:t>En las zonas o locales con atmósferas explosivas de las instalaciones de Canal de Isabel II Gestión será de aplicación las prescripciones contempladas en el Real Decreto 681/2003 de 12 de junio, sobre la protección de la salud y la seguridad de los trabajadores expuestos a los riesgos derivados de atmósferas explosivas en el lugar de trabajo.</w:t>
      </w:r>
    </w:p>
    <w:p w:rsidR="00C7085E" w:rsidRDefault="00C7085E" w:rsidP="00B71B1A">
      <w:pPr>
        <w:spacing w:before="120" w:after="240" w:line="276" w:lineRule="auto"/>
        <w:ind w:right="-285"/>
      </w:pPr>
      <w:r>
        <w:t>En dicho decreto, se fija la señalización y limitación de las áreas en las que se puedan formar atmósferas explosivas, la clasificación de las mismas en función de los riesgos, así como la obligatoriedad de cumplimentar un parte de trabajos especiales para el mantenimiento, explotación y reparación en áreas de las instalaciones con este riesgo.</w:t>
      </w:r>
    </w:p>
    <w:p w:rsidR="00C7085E" w:rsidRDefault="00C7085E" w:rsidP="00B71B1A">
      <w:pPr>
        <w:spacing w:before="120" w:after="240" w:line="276" w:lineRule="auto"/>
        <w:ind w:right="-285"/>
      </w:pPr>
      <w:r>
        <w:t>Será obligatoria la instalación de detectores automáticos de concentración peligrosa de gases con mando automático a extractores y señalización de alarmas acústica y visual.</w:t>
      </w: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91" w:name="_Toc448741547"/>
      <w:r>
        <w:t>Equipos de seguridad</w:t>
      </w:r>
      <w:bookmarkEnd w:id="891"/>
    </w:p>
    <w:p w:rsidR="00D672FA" w:rsidRDefault="00C7085E" w:rsidP="00B71B1A">
      <w:pPr>
        <w:spacing w:before="120" w:after="240" w:line="276" w:lineRule="auto"/>
        <w:ind w:right="-285"/>
      </w:pPr>
      <w:r>
        <w:t>El Adjudicatario presentará a la Dirección de Obra una clasificación de zonas susceptibles de riesgos potenciales en las instalaciones proyectadas, con las condiciones y equipos de seguridad necesarios, tanto fijos como personales, en cada una de dichas zonas.</w:t>
      </w:r>
    </w:p>
    <w:p w:rsidR="00D672FA" w:rsidRDefault="00D672FA">
      <w:pPr>
        <w:widowControl/>
        <w:autoSpaceDE/>
        <w:autoSpaceDN/>
        <w:adjustRightInd/>
        <w:spacing w:line="240" w:lineRule="auto"/>
        <w:jc w:val="left"/>
      </w:pPr>
      <w:r>
        <w:br w:type="page"/>
      </w:r>
    </w:p>
    <w:p w:rsidR="00C7085E" w:rsidRDefault="00C7085E" w:rsidP="00B71B1A">
      <w:pPr>
        <w:spacing w:before="120" w:after="240" w:line="276" w:lineRule="auto"/>
        <w:ind w:right="-285"/>
      </w:pPr>
    </w:p>
    <w:p w:rsidR="00C7085E" w:rsidRDefault="00C7085E" w:rsidP="00B71B1A">
      <w:pPr>
        <w:pStyle w:val="Ttulo3"/>
        <w:keepNext w:val="0"/>
        <w:widowControl/>
        <w:numPr>
          <w:ilvl w:val="2"/>
          <w:numId w:val="5"/>
        </w:numPr>
        <w:tabs>
          <w:tab w:val="left" w:pos="567"/>
        </w:tabs>
        <w:suppressAutoHyphens/>
        <w:snapToGrid w:val="0"/>
        <w:spacing w:before="120" w:after="240" w:line="276" w:lineRule="auto"/>
        <w:ind w:left="1701" w:right="-285" w:hanging="1701"/>
      </w:pPr>
      <w:bookmarkStart w:id="892" w:name="_Toc448741548"/>
      <w:r>
        <w:t>Colores de seguridad</w:t>
      </w:r>
      <w:bookmarkEnd w:id="892"/>
    </w:p>
    <w:p w:rsidR="00C7085E" w:rsidRDefault="00C7085E" w:rsidP="00B71B1A">
      <w:pPr>
        <w:spacing w:before="120" w:after="240" w:line="276" w:lineRule="auto"/>
        <w:ind w:right="-285"/>
        <w:rPr>
          <w:i/>
        </w:rPr>
      </w:pPr>
      <w:r>
        <w:t>La significación y empleo de colores de seguridad se regirán por la norma UNE-EN ISO 7010: “</w:t>
      </w:r>
      <w:r>
        <w:rPr>
          <w:i/>
        </w:rPr>
        <w:t>Símbolos gráficos. Colores y señales de seguridad. Señales de seguridad registradas.”</w:t>
      </w:r>
    </w:p>
    <w:p w:rsidR="006C1166" w:rsidRDefault="006C1166" w:rsidP="00B71B1A">
      <w:pPr>
        <w:spacing w:before="120" w:after="240" w:line="276" w:lineRule="auto"/>
        <w:ind w:right="-285"/>
        <w:rPr>
          <w:i/>
        </w:rPr>
      </w:pPr>
    </w:p>
    <w:tbl>
      <w:tblPr>
        <w:tblW w:w="9039" w:type="dxa"/>
        <w:tblLook w:val="01E0" w:firstRow="1" w:lastRow="1" w:firstColumn="1" w:lastColumn="1" w:noHBand="0" w:noVBand="0"/>
      </w:tblPr>
      <w:tblGrid>
        <w:gridCol w:w="4644"/>
        <w:gridCol w:w="4395"/>
      </w:tblGrid>
      <w:tr w:rsidR="006C1166" w:rsidRPr="00DE3408" w:rsidTr="00687E83">
        <w:trPr>
          <w:trHeight w:val="347"/>
        </w:trPr>
        <w:tc>
          <w:tcPr>
            <w:tcW w:w="9039" w:type="dxa"/>
            <w:gridSpan w:val="2"/>
            <w:vAlign w:val="center"/>
          </w:tcPr>
          <w:p w:rsidR="006C1166" w:rsidRPr="00DE3408" w:rsidRDefault="006C1166" w:rsidP="00625637">
            <w:pPr>
              <w:suppressAutoHyphens/>
              <w:jc w:val="right"/>
              <w:rPr>
                <w:rFonts w:cs="Arial"/>
                <w:b/>
                <w:snapToGrid w:val="0"/>
                <w:szCs w:val="22"/>
              </w:rPr>
            </w:pPr>
            <w:r w:rsidRPr="00DE3408">
              <w:rPr>
                <w:rFonts w:cs="Arial"/>
                <w:b/>
                <w:snapToGrid w:val="0"/>
                <w:szCs w:val="22"/>
              </w:rPr>
              <w:t xml:space="preserve">Madrid, </w:t>
            </w:r>
            <w:r w:rsidR="002B340F">
              <w:rPr>
                <w:rFonts w:cs="Arial"/>
                <w:b/>
                <w:snapToGrid w:val="0"/>
                <w:szCs w:val="22"/>
              </w:rPr>
              <w:t>Ju</w:t>
            </w:r>
            <w:r w:rsidR="004A6A0E">
              <w:rPr>
                <w:rFonts w:cs="Arial"/>
                <w:b/>
                <w:snapToGrid w:val="0"/>
                <w:szCs w:val="22"/>
              </w:rPr>
              <w:t>l</w:t>
            </w:r>
            <w:r w:rsidR="000370C9">
              <w:rPr>
                <w:rFonts w:cs="Arial"/>
                <w:b/>
                <w:snapToGrid w:val="0"/>
                <w:szCs w:val="22"/>
              </w:rPr>
              <w:t>io</w:t>
            </w:r>
            <w:r>
              <w:rPr>
                <w:rFonts w:cs="Arial"/>
                <w:b/>
                <w:snapToGrid w:val="0"/>
                <w:szCs w:val="22"/>
              </w:rPr>
              <w:t xml:space="preserve"> de 2.016</w:t>
            </w:r>
          </w:p>
        </w:tc>
      </w:tr>
      <w:tr w:rsidR="006C1166" w:rsidRPr="00DE3408" w:rsidTr="00687E83">
        <w:trPr>
          <w:trHeight w:val="201"/>
        </w:trPr>
        <w:tc>
          <w:tcPr>
            <w:tcW w:w="9039" w:type="dxa"/>
            <w:gridSpan w:val="2"/>
            <w:vAlign w:val="center"/>
          </w:tcPr>
          <w:p w:rsidR="006C1166" w:rsidRPr="00DE3408" w:rsidRDefault="006C1166" w:rsidP="004A6A0E">
            <w:pPr>
              <w:jc w:val="left"/>
              <w:rPr>
                <w:rFonts w:cs="Arial"/>
                <w:snapToGrid w:val="0"/>
                <w:szCs w:val="22"/>
              </w:rPr>
            </w:pPr>
          </w:p>
        </w:tc>
      </w:tr>
      <w:tr w:rsidR="006C1166" w:rsidRPr="00DE3408" w:rsidTr="00687E83">
        <w:tc>
          <w:tcPr>
            <w:tcW w:w="4644" w:type="dxa"/>
          </w:tcPr>
          <w:p w:rsidR="006C1166" w:rsidRPr="00DE3408" w:rsidRDefault="006C1166" w:rsidP="006C1166">
            <w:pPr>
              <w:spacing w:line="240" w:lineRule="atLeast"/>
              <w:jc w:val="left"/>
              <w:rPr>
                <w:rFonts w:cs="Arial"/>
                <w:b/>
                <w:snapToGrid w:val="0"/>
                <w:szCs w:val="22"/>
              </w:rPr>
            </w:pPr>
            <w:r w:rsidRPr="00DE3408">
              <w:rPr>
                <w:rFonts w:cs="Arial"/>
                <w:b/>
                <w:snapToGrid w:val="0"/>
                <w:szCs w:val="22"/>
              </w:rPr>
              <w:t>AUTOR DEL PROYECTO</w:t>
            </w:r>
          </w:p>
          <w:p w:rsidR="006C1166" w:rsidRPr="00DE3408" w:rsidRDefault="006C1166" w:rsidP="006C1166">
            <w:pPr>
              <w:suppressAutoHyphens/>
              <w:spacing w:line="240" w:lineRule="atLeast"/>
              <w:jc w:val="left"/>
              <w:rPr>
                <w:rFonts w:cs="Arial"/>
                <w:b/>
                <w:snapToGrid w:val="0"/>
                <w:szCs w:val="22"/>
              </w:rPr>
            </w:pPr>
          </w:p>
          <w:p w:rsidR="006C1166" w:rsidRPr="00DE3408" w:rsidRDefault="006C1166" w:rsidP="006C1166">
            <w:pPr>
              <w:suppressAutoHyphens/>
              <w:spacing w:line="240" w:lineRule="atLeast"/>
              <w:jc w:val="left"/>
              <w:rPr>
                <w:rFonts w:cs="Arial"/>
                <w:b/>
                <w:snapToGrid w:val="0"/>
                <w:szCs w:val="22"/>
              </w:rPr>
            </w:pPr>
          </w:p>
          <w:p w:rsidR="006C1166" w:rsidRDefault="006C1166" w:rsidP="006C1166">
            <w:pPr>
              <w:suppressAutoHyphens/>
              <w:spacing w:line="240" w:lineRule="atLeast"/>
              <w:jc w:val="left"/>
              <w:rPr>
                <w:rFonts w:cs="Arial"/>
                <w:b/>
                <w:snapToGrid w:val="0"/>
                <w:szCs w:val="22"/>
              </w:rPr>
            </w:pPr>
          </w:p>
          <w:p w:rsidR="006C1166" w:rsidRPr="00DE3408" w:rsidRDefault="006C1166" w:rsidP="006C1166">
            <w:pPr>
              <w:suppressAutoHyphens/>
              <w:spacing w:line="240" w:lineRule="atLeast"/>
              <w:jc w:val="left"/>
              <w:rPr>
                <w:rFonts w:cs="Arial"/>
                <w:b/>
                <w:snapToGrid w:val="0"/>
                <w:szCs w:val="22"/>
              </w:rPr>
            </w:pPr>
          </w:p>
          <w:p w:rsidR="006C1166" w:rsidRPr="00DE3408" w:rsidRDefault="006C1166" w:rsidP="006C1166">
            <w:pPr>
              <w:suppressAutoHyphens/>
              <w:spacing w:line="240" w:lineRule="atLeast"/>
              <w:jc w:val="left"/>
              <w:rPr>
                <w:rFonts w:cs="Arial"/>
                <w:b/>
                <w:snapToGrid w:val="0"/>
                <w:szCs w:val="22"/>
              </w:rPr>
            </w:pPr>
          </w:p>
          <w:p w:rsidR="006C1166" w:rsidRPr="00DE3408" w:rsidRDefault="00534627" w:rsidP="00625637">
            <w:pPr>
              <w:suppressAutoHyphens/>
              <w:spacing w:line="240" w:lineRule="atLeast"/>
              <w:jc w:val="left"/>
              <w:rPr>
                <w:rFonts w:cs="Arial"/>
                <w:b/>
                <w:szCs w:val="22"/>
              </w:rPr>
            </w:pPr>
            <w:r>
              <w:rPr>
                <w:rFonts w:cs="Arial"/>
                <w:b/>
                <w:snapToGrid w:val="0"/>
                <w:szCs w:val="22"/>
              </w:rPr>
              <w:t xml:space="preserve">Fdo: </w:t>
            </w:r>
            <w:r w:rsidR="000370C9">
              <w:rPr>
                <w:rFonts w:cs="Arial"/>
                <w:b/>
                <w:snapToGrid w:val="0"/>
                <w:szCs w:val="22"/>
              </w:rPr>
              <w:t>Rafael García del Vado</w:t>
            </w:r>
          </w:p>
        </w:tc>
        <w:tc>
          <w:tcPr>
            <w:tcW w:w="4395" w:type="dxa"/>
          </w:tcPr>
          <w:p w:rsidR="006C1166" w:rsidRPr="00DE3408" w:rsidRDefault="006C1166" w:rsidP="006C1166">
            <w:pPr>
              <w:spacing w:line="240" w:lineRule="atLeast"/>
              <w:jc w:val="left"/>
              <w:rPr>
                <w:rFonts w:cs="Arial"/>
                <w:b/>
                <w:snapToGrid w:val="0"/>
                <w:szCs w:val="22"/>
              </w:rPr>
            </w:pPr>
            <w:r w:rsidRPr="00DE3408">
              <w:rPr>
                <w:rFonts w:cs="Arial"/>
                <w:b/>
                <w:snapToGrid w:val="0"/>
                <w:szCs w:val="22"/>
              </w:rPr>
              <w:t>EL DIRECTOR DEL PROYECTO</w:t>
            </w:r>
          </w:p>
          <w:p w:rsidR="006C1166" w:rsidRPr="00DE3408" w:rsidRDefault="006C1166" w:rsidP="006C1166">
            <w:pPr>
              <w:suppressAutoHyphens/>
              <w:spacing w:line="240" w:lineRule="atLeast"/>
              <w:jc w:val="left"/>
              <w:rPr>
                <w:rFonts w:cs="Arial"/>
                <w:b/>
                <w:snapToGrid w:val="0"/>
                <w:szCs w:val="22"/>
              </w:rPr>
            </w:pPr>
          </w:p>
          <w:p w:rsidR="006C1166" w:rsidRPr="00DE3408" w:rsidRDefault="006C1166" w:rsidP="006C1166">
            <w:pPr>
              <w:suppressAutoHyphens/>
              <w:spacing w:line="240" w:lineRule="atLeast"/>
              <w:jc w:val="left"/>
              <w:rPr>
                <w:rFonts w:cs="Arial"/>
                <w:b/>
                <w:snapToGrid w:val="0"/>
                <w:szCs w:val="22"/>
              </w:rPr>
            </w:pPr>
          </w:p>
          <w:p w:rsidR="006C1166" w:rsidRDefault="006C1166" w:rsidP="006C1166">
            <w:pPr>
              <w:suppressAutoHyphens/>
              <w:spacing w:line="240" w:lineRule="atLeast"/>
              <w:jc w:val="left"/>
              <w:rPr>
                <w:rFonts w:cs="Arial"/>
                <w:b/>
                <w:snapToGrid w:val="0"/>
                <w:szCs w:val="22"/>
              </w:rPr>
            </w:pPr>
          </w:p>
          <w:p w:rsidR="006C1166" w:rsidRPr="00DE3408" w:rsidRDefault="006C1166" w:rsidP="006C1166">
            <w:pPr>
              <w:suppressAutoHyphens/>
              <w:spacing w:line="240" w:lineRule="atLeast"/>
              <w:jc w:val="left"/>
              <w:rPr>
                <w:rFonts w:cs="Arial"/>
                <w:b/>
                <w:snapToGrid w:val="0"/>
                <w:szCs w:val="22"/>
              </w:rPr>
            </w:pPr>
          </w:p>
          <w:p w:rsidR="006C1166" w:rsidRPr="00DE3408" w:rsidRDefault="006C1166" w:rsidP="006C1166">
            <w:pPr>
              <w:suppressAutoHyphens/>
              <w:spacing w:line="240" w:lineRule="atLeast"/>
              <w:jc w:val="left"/>
              <w:rPr>
                <w:rFonts w:cs="Arial"/>
                <w:b/>
                <w:snapToGrid w:val="0"/>
                <w:szCs w:val="22"/>
              </w:rPr>
            </w:pPr>
          </w:p>
          <w:p w:rsidR="006C1166" w:rsidRPr="00DE3408" w:rsidRDefault="006C1166" w:rsidP="004A6A0E">
            <w:pPr>
              <w:suppressAutoHyphens/>
              <w:spacing w:line="240" w:lineRule="atLeast"/>
              <w:jc w:val="left"/>
              <w:rPr>
                <w:rFonts w:cs="Arial"/>
                <w:b/>
                <w:szCs w:val="22"/>
              </w:rPr>
            </w:pPr>
            <w:r w:rsidRPr="00DE3408">
              <w:rPr>
                <w:rFonts w:cs="Arial"/>
                <w:b/>
                <w:snapToGrid w:val="0"/>
                <w:szCs w:val="22"/>
              </w:rPr>
              <w:t xml:space="preserve">FDO: </w:t>
            </w:r>
            <w:r w:rsidR="004A6A0E">
              <w:rPr>
                <w:rFonts w:cs="Arial"/>
                <w:b/>
                <w:snapToGrid w:val="0"/>
                <w:szCs w:val="22"/>
              </w:rPr>
              <w:t>Carlos Sarmiento Jiménez</w:t>
            </w:r>
            <w:bookmarkStart w:id="893" w:name="_GoBack"/>
            <w:bookmarkEnd w:id="893"/>
          </w:p>
        </w:tc>
      </w:tr>
      <w:tr w:rsidR="006C1166" w:rsidRPr="00DE3408" w:rsidTr="00687E83">
        <w:trPr>
          <w:trHeight w:val="162"/>
        </w:trPr>
        <w:tc>
          <w:tcPr>
            <w:tcW w:w="9039" w:type="dxa"/>
            <w:gridSpan w:val="2"/>
            <w:vAlign w:val="center"/>
          </w:tcPr>
          <w:p w:rsidR="006C1166" w:rsidRDefault="006C1166" w:rsidP="006C1166">
            <w:pPr>
              <w:suppressAutoHyphens/>
              <w:spacing w:line="240" w:lineRule="atLeast"/>
              <w:jc w:val="center"/>
              <w:rPr>
                <w:rFonts w:cs="Arial"/>
                <w:b/>
                <w:snapToGrid w:val="0"/>
                <w:szCs w:val="22"/>
              </w:rPr>
            </w:pPr>
          </w:p>
          <w:p w:rsidR="006C1166" w:rsidRDefault="006C1166" w:rsidP="006C1166">
            <w:pPr>
              <w:suppressAutoHyphens/>
              <w:spacing w:line="240" w:lineRule="atLeast"/>
              <w:jc w:val="center"/>
              <w:rPr>
                <w:rFonts w:cs="Arial"/>
                <w:b/>
                <w:snapToGrid w:val="0"/>
                <w:szCs w:val="22"/>
              </w:rPr>
            </w:pPr>
          </w:p>
          <w:p w:rsidR="006C1166" w:rsidRDefault="006C1166" w:rsidP="006C1166">
            <w:pPr>
              <w:suppressAutoHyphens/>
              <w:spacing w:line="240" w:lineRule="atLeast"/>
              <w:jc w:val="center"/>
              <w:rPr>
                <w:rFonts w:cs="Arial"/>
                <w:b/>
                <w:snapToGrid w:val="0"/>
                <w:szCs w:val="22"/>
              </w:rPr>
            </w:pPr>
          </w:p>
          <w:p w:rsidR="006C1166" w:rsidRPr="00DE3408" w:rsidRDefault="006C1166" w:rsidP="006C1166">
            <w:pPr>
              <w:suppressAutoHyphens/>
              <w:spacing w:line="240" w:lineRule="atLeast"/>
              <w:jc w:val="center"/>
              <w:rPr>
                <w:rFonts w:cs="Arial"/>
                <w:b/>
                <w:snapToGrid w:val="0"/>
                <w:szCs w:val="22"/>
              </w:rPr>
            </w:pPr>
          </w:p>
        </w:tc>
      </w:tr>
      <w:tr w:rsidR="006C1166" w:rsidRPr="00DE3408" w:rsidTr="00687E83">
        <w:tc>
          <w:tcPr>
            <w:tcW w:w="4644" w:type="dxa"/>
          </w:tcPr>
          <w:p w:rsidR="006C1166" w:rsidRPr="00DE3408" w:rsidRDefault="006C1166" w:rsidP="006C1166">
            <w:pPr>
              <w:suppressAutoHyphens/>
              <w:spacing w:line="240" w:lineRule="atLeast"/>
              <w:jc w:val="center"/>
              <w:rPr>
                <w:rFonts w:cs="Arial"/>
                <w:b/>
                <w:snapToGrid w:val="0"/>
                <w:szCs w:val="22"/>
              </w:rPr>
            </w:pPr>
          </w:p>
        </w:tc>
        <w:tc>
          <w:tcPr>
            <w:tcW w:w="4395" w:type="dxa"/>
          </w:tcPr>
          <w:p w:rsidR="006C1166" w:rsidRPr="00DE3408" w:rsidRDefault="006C1166" w:rsidP="006C1166">
            <w:pPr>
              <w:spacing w:line="240" w:lineRule="atLeast"/>
              <w:jc w:val="left"/>
              <w:rPr>
                <w:rFonts w:cs="Arial"/>
                <w:b/>
                <w:szCs w:val="22"/>
              </w:rPr>
            </w:pPr>
            <w:r w:rsidRPr="00DE3408">
              <w:rPr>
                <w:rFonts w:cs="Arial"/>
                <w:b/>
                <w:szCs w:val="22"/>
              </w:rPr>
              <w:t>JEFE DE ÁREA DE CONSTRUCCIÓN</w:t>
            </w:r>
          </w:p>
          <w:p w:rsidR="006C1166" w:rsidRPr="00DE3408" w:rsidRDefault="006C1166" w:rsidP="006C1166">
            <w:pPr>
              <w:spacing w:line="240" w:lineRule="atLeast"/>
              <w:jc w:val="left"/>
              <w:rPr>
                <w:rFonts w:cs="Arial"/>
                <w:b/>
                <w:szCs w:val="22"/>
              </w:rPr>
            </w:pPr>
            <w:r w:rsidRPr="00DE3408">
              <w:rPr>
                <w:rFonts w:cs="Arial"/>
                <w:b/>
                <w:szCs w:val="22"/>
              </w:rPr>
              <w:t>DE REDES DE ABASTECIMIENTO</w:t>
            </w:r>
          </w:p>
          <w:p w:rsidR="006C1166" w:rsidRPr="00DE3408" w:rsidRDefault="006C1166" w:rsidP="006C1166">
            <w:pPr>
              <w:spacing w:line="240" w:lineRule="atLeast"/>
              <w:jc w:val="left"/>
              <w:rPr>
                <w:rFonts w:cs="Arial"/>
                <w:b/>
                <w:szCs w:val="22"/>
              </w:rPr>
            </w:pPr>
          </w:p>
          <w:p w:rsidR="006C1166" w:rsidRDefault="006C1166" w:rsidP="006C1166">
            <w:pPr>
              <w:spacing w:line="240" w:lineRule="atLeast"/>
              <w:jc w:val="left"/>
              <w:rPr>
                <w:rFonts w:cs="Arial"/>
                <w:b/>
                <w:szCs w:val="22"/>
              </w:rPr>
            </w:pPr>
          </w:p>
          <w:p w:rsidR="006C1166" w:rsidRPr="00DE3408" w:rsidRDefault="006C1166" w:rsidP="006C1166">
            <w:pPr>
              <w:spacing w:line="240" w:lineRule="atLeast"/>
              <w:jc w:val="left"/>
              <w:rPr>
                <w:rFonts w:cs="Arial"/>
                <w:b/>
                <w:szCs w:val="22"/>
              </w:rPr>
            </w:pPr>
          </w:p>
          <w:p w:rsidR="006C1166" w:rsidRPr="00DE3408" w:rsidRDefault="006C1166" w:rsidP="006C1166">
            <w:pPr>
              <w:spacing w:line="240" w:lineRule="atLeast"/>
              <w:jc w:val="left"/>
              <w:rPr>
                <w:rFonts w:cs="Arial"/>
                <w:b/>
                <w:szCs w:val="22"/>
              </w:rPr>
            </w:pPr>
          </w:p>
          <w:p w:rsidR="006C1166" w:rsidRPr="00DE3408" w:rsidRDefault="006C1166" w:rsidP="006C1166">
            <w:pPr>
              <w:spacing w:line="240" w:lineRule="atLeast"/>
              <w:jc w:val="left"/>
              <w:rPr>
                <w:rFonts w:cs="Arial"/>
                <w:b/>
                <w:szCs w:val="22"/>
              </w:rPr>
            </w:pPr>
          </w:p>
          <w:p w:rsidR="006C1166" w:rsidRPr="00DE3408" w:rsidRDefault="006C1166" w:rsidP="006C1166">
            <w:pPr>
              <w:spacing w:line="240" w:lineRule="atLeast"/>
              <w:jc w:val="left"/>
              <w:rPr>
                <w:rFonts w:cs="Arial"/>
                <w:b/>
                <w:snapToGrid w:val="0"/>
                <w:szCs w:val="22"/>
              </w:rPr>
            </w:pPr>
            <w:r w:rsidRPr="00DE3408">
              <w:rPr>
                <w:rFonts w:cs="Arial"/>
                <w:b/>
                <w:szCs w:val="22"/>
              </w:rPr>
              <w:t>FDO: Ricardo Moreno Huerta</w:t>
            </w:r>
          </w:p>
        </w:tc>
      </w:tr>
    </w:tbl>
    <w:p w:rsidR="006C1166" w:rsidRDefault="006C1166" w:rsidP="00B71B1A">
      <w:pPr>
        <w:spacing w:before="120" w:after="240" w:line="276" w:lineRule="auto"/>
        <w:ind w:right="-285"/>
        <w:rPr>
          <w:i/>
        </w:rPr>
      </w:pPr>
    </w:p>
    <w:p w:rsidR="006C1166" w:rsidRDefault="006C1166" w:rsidP="00B71B1A">
      <w:pPr>
        <w:spacing w:before="120" w:after="240" w:line="276" w:lineRule="auto"/>
        <w:ind w:right="-285"/>
        <w:rPr>
          <w:i/>
        </w:rPr>
      </w:pPr>
    </w:p>
    <w:p w:rsidR="006C1166" w:rsidRDefault="006C1166" w:rsidP="00B71B1A">
      <w:pPr>
        <w:spacing w:before="120" w:after="240" w:line="276" w:lineRule="auto"/>
        <w:ind w:right="-285"/>
        <w:rPr>
          <w:i/>
        </w:rPr>
      </w:pPr>
    </w:p>
    <w:p w:rsidR="00CE620E" w:rsidRDefault="00CE620E" w:rsidP="00B71B1A">
      <w:pPr>
        <w:spacing w:before="120" w:after="240" w:line="276" w:lineRule="auto"/>
        <w:ind w:right="-285"/>
        <w:rPr>
          <w:i/>
        </w:rPr>
      </w:pPr>
    </w:p>
    <w:p w:rsidR="00CE620E" w:rsidRDefault="00CE620E" w:rsidP="00B71B1A">
      <w:pPr>
        <w:spacing w:before="120" w:after="240" w:line="276" w:lineRule="auto"/>
        <w:ind w:right="-285"/>
        <w:rPr>
          <w:i/>
        </w:rPr>
      </w:pPr>
    </w:p>
    <w:p w:rsidR="00CE620E" w:rsidRDefault="00CE620E" w:rsidP="00B71B1A">
      <w:pPr>
        <w:spacing w:before="120" w:after="240" w:line="276" w:lineRule="auto"/>
        <w:ind w:right="-285"/>
        <w:rPr>
          <w:i/>
        </w:rPr>
      </w:pPr>
    </w:p>
    <w:p w:rsidR="00262DA8" w:rsidRPr="00C7085E" w:rsidRDefault="00262DA8" w:rsidP="00B71B1A">
      <w:pPr>
        <w:spacing w:before="120" w:after="240" w:line="276" w:lineRule="auto"/>
        <w:ind w:right="-285"/>
        <w:rPr>
          <w:lang w:val="es-ES_tradnl"/>
        </w:rPr>
      </w:pPr>
    </w:p>
    <w:p w:rsidR="003B5DB8" w:rsidRDefault="003B5DB8" w:rsidP="00B71B1A">
      <w:pPr>
        <w:spacing w:before="120" w:after="240" w:line="276" w:lineRule="auto"/>
        <w:ind w:right="-285"/>
      </w:pPr>
    </w:p>
    <w:p w:rsidR="00262DA8" w:rsidRPr="00164B82" w:rsidRDefault="00262DA8" w:rsidP="00B71B1A">
      <w:pPr>
        <w:spacing w:before="120" w:after="240" w:line="276" w:lineRule="auto"/>
        <w:ind w:right="-285"/>
        <w:sectPr w:rsidR="00262DA8" w:rsidRPr="00164B82" w:rsidSect="00094D4E">
          <w:pgSz w:w="11906" w:h="16838" w:code="9"/>
          <w:pgMar w:top="1417" w:right="1701" w:bottom="1417" w:left="1701" w:header="709" w:footer="709" w:gutter="0"/>
          <w:cols w:space="708"/>
          <w:titlePg/>
          <w:docGrid w:linePitch="360"/>
        </w:sectPr>
      </w:pPr>
    </w:p>
    <w:p w:rsidR="0076349D" w:rsidRPr="007D483D" w:rsidRDefault="0076349D" w:rsidP="00B71B1A">
      <w:pPr>
        <w:spacing w:line="276" w:lineRule="auto"/>
        <w:ind w:right="-285"/>
        <w:rPr>
          <w:b/>
          <w:sz w:val="28"/>
          <w:szCs w:val="28"/>
          <w:u w:val="single"/>
        </w:rPr>
      </w:pPr>
      <w:bookmarkStart w:id="894" w:name="_Toc301256525"/>
      <w:bookmarkStart w:id="895" w:name="_Toc314047636"/>
      <w:bookmarkStart w:id="896" w:name="_Toc422126750"/>
      <w:r w:rsidRPr="007D483D">
        <w:rPr>
          <w:b/>
          <w:sz w:val="28"/>
          <w:szCs w:val="28"/>
          <w:u w:val="single"/>
        </w:rPr>
        <w:lastRenderedPageBreak/>
        <w:t>B) PLIEGO DE PRESCRIPCIONES TECNICAS PARTICULARES</w:t>
      </w:r>
      <w:bookmarkEnd w:id="894"/>
      <w:bookmarkEnd w:id="895"/>
      <w:bookmarkEnd w:id="896"/>
    </w:p>
    <w:p w:rsidR="0076349D" w:rsidRPr="007D483D" w:rsidRDefault="0076349D" w:rsidP="00B71B1A">
      <w:pPr>
        <w:spacing w:line="276" w:lineRule="auto"/>
        <w:ind w:right="-285"/>
        <w:rPr>
          <w:b/>
          <w:sz w:val="28"/>
          <w:szCs w:val="28"/>
          <w:u w:val="single"/>
        </w:rPr>
        <w:sectPr w:rsidR="0076349D" w:rsidRPr="007D483D" w:rsidSect="00094D4E">
          <w:footerReference w:type="default" r:id="rId27"/>
          <w:pgSz w:w="11906" w:h="16838" w:code="9"/>
          <w:pgMar w:top="1417" w:right="1701" w:bottom="1417" w:left="1701" w:header="709" w:footer="709" w:gutter="0"/>
          <w:cols w:space="720"/>
          <w:vAlign w:val="center"/>
          <w:titlePg/>
        </w:sectPr>
      </w:pPr>
    </w:p>
    <w:p w:rsidR="007D483D" w:rsidRDefault="007D483D" w:rsidP="00B71B1A">
      <w:pPr>
        <w:spacing w:line="276" w:lineRule="auto"/>
        <w:ind w:right="-285"/>
        <w:jc w:val="center"/>
        <w:rPr>
          <w:b/>
          <w:sz w:val="32"/>
          <w:szCs w:val="32"/>
          <w:u w:val="single"/>
        </w:rPr>
      </w:pPr>
      <w:r>
        <w:rPr>
          <w:b/>
          <w:sz w:val="32"/>
          <w:szCs w:val="32"/>
          <w:u w:val="single"/>
        </w:rPr>
        <w:lastRenderedPageBreak/>
        <w:t>ÍNDICE</w:t>
      </w:r>
    </w:p>
    <w:p w:rsidR="007D483D" w:rsidRDefault="007D483D" w:rsidP="00B71B1A">
      <w:pPr>
        <w:spacing w:line="276" w:lineRule="auto"/>
        <w:ind w:right="-285"/>
      </w:pPr>
    </w:p>
    <w:p w:rsidR="007D483D" w:rsidRDefault="007D483D" w:rsidP="00B71B1A">
      <w:pPr>
        <w:pStyle w:val="TDC1"/>
        <w:tabs>
          <w:tab w:val="left" w:pos="1701"/>
        </w:tabs>
        <w:spacing w:line="276" w:lineRule="auto"/>
        <w:ind w:right="-285"/>
      </w:pPr>
    </w:p>
    <w:p w:rsidR="007D483D" w:rsidRPr="006C1166" w:rsidRDefault="00927113" w:rsidP="00B71B1A">
      <w:pPr>
        <w:pStyle w:val="TDC1"/>
        <w:tabs>
          <w:tab w:val="left" w:pos="1701"/>
        </w:tabs>
        <w:spacing w:line="276" w:lineRule="auto"/>
        <w:ind w:right="-285"/>
        <w:rPr>
          <w:rFonts w:asciiTheme="minorHAnsi" w:eastAsiaTheme="minorEastAsia" w:hAnsiTheme="minorHAnsi" w:cstheme="minorBidi"/>
          <w:b w:val="0"/>
          <w:noProof/>
          <w:sz w:val="20"/>
          <w:szCs w:val="20"/>
          <w:lang w:val="es-ES_tradnl" w:eastAsia="es-ES_tradnl"/>
        </w:rPr>
      </w:pPr>
      <w:r w:rsidRPr="006C1166">
        <w:rPr>
          <w:sz w:val="20"/>
          <w:szCs w:val="20"/>
        </w:rPr>
        <w:fldChar w:fldCharType="begin"/>
      </w:r>
      <w:r w:rsidR="007D483D" w:rsidRPr="006C1166">
        <w:rPr>
          <w:sz w:val="20"/>
          <w:szCs w:val="20"/>
        </w:rPr>
        <w:instrText xml:space="preserve"> TOC \o "1-3" </w:instrText>
      </w:r>
      <w:r w:rsidRPr="006C1166">
        <w:rPr>
          <w:sz w:val="20"/>
          <w:szCs w:val="20"/>
        </w:rPr>
        <w:fldChar w:fldCharType="separate"/>
      </w:r>
      <w:r w:rsidR="007D483D" w:rsidRPr="006C1166">
        <w:rPr>
          <w:noProof/>
          <w:sz w:val="20"/>
          <w:szCs w:val="20"/>
        </w:rPr>
        <w:t>CAPITULO 1.</w:t>
      </w:r>
      <w:r w:rsidR="007D483D" w:rsidRPr="006C1166">
        <w:rPr>
          <w:rFonts w:asciiTheme="minorHAnsi" w:eastAsiaTheme="minorEastAsia" w:hAnsiTheme="minorHAnsi" w:cstheme="minorBidi"/>
          <w:b w:val="0"/>
          <w:caps/>
          <w:noProof/>
          <w:sz w:val="20"/>
          <w:szCs w:val="20"/>
          <w:lang w:val="es-ES_tradnl" w:eastAsia="es-ES_tradnl"/>
        </w:rPr>
        <w:tab/>
      </w:r>
      <w:r w:rsidR="007D483D" w:rsidRPr="006C1166">
        <w:rPr>
          <w:noProof/>
          <w:sz w:val="20"/>
          <w:szCs w:val="20"/>
        </w:rPr>
        <w:t>OBJETO DEL PLIEGO</w:t>
      </w:r>
      <w:r w:rsidR="007D483D" w:rsidRPr="006C1166">
        <w:rPr>
          <w:noProof/>
          <w:sz w:val="20"/>
          <w:szCs w:val="20"/>
        </w:rPr>
        <w:tab/>
      </w:r>
      <w:r w:rsidRPr="006C1166">
        <w:rPr>
          <w:noProof/>
          <w:sz w:val="20"/>
          <w:szCs w:val="20"/>
        </w:rPr>
        <w:fldChar w:fldCharType="begin"/>
      </w:r>
      <w:r w:rsidR="007D483D" w:rsidRPr="006C1166">
        <w:rPr>
          <w:noProof/>
          <w:sz w:val="20"/>
          <w:szCs w:val="20"/>
        </w:rPr>
        <w:instrText xml:space="preserve"> PAGEREF _Toc425163580 \h </w:instrText>
      </w:r>
      <w:r w:rsidRPr="006C1166">
        <w:rPr>
          <w:noProof/>
          <w:sz w:val="20"/>
          <w:szCs w:val="20"/>
        </w:rPr>
      </w:r>
      <w:r w:rsidRPr="006C1166">
        <w:rPr>
          <w:noProof/>
          <w:sz w:val="20"/>
          <w:szCs w:val="20"/>
        </w:rPr>
        <w:fldChar w:fldCharType="separate"/>
      </w:r>
      <w:r w:rsidR="006B1686">
        <w:rPr>
          <w:noProof/>
          <w:sz w:val="20"/>
          <w:szCs w:val="20"/>
        </w:rPr>
        <w:t>313</w:t>
      </w:r>
      <w:r w:rsidRPr="006C1166">
        <w:rPr>
          <w:noProof/>
          <w:sz w:val="20"/>
          <w:szCs w:val="20"/>
        </w:rPr>
        <w:fldChar w:fldCharType="end"/>
      </w:r>
    </w:p>
    <w:p w:rsidR="007D483D" w:rsidRPr="006C1166" w:rsidRDefault="007D483D" w:rsidP="00B71B1A">
      <w:pPr>
        <w:pStyle w:val="TDC1"/>
        <w:tabs>
          <w:tab w:val="left" w:pos="1701"/>
        </w:tabs>
        <w:spacing w:line="276" w:lineRule="auto"/>
        <w:ind w:right="-285"/>
        <w:rPr>
          <w:rFonts w:asciiTheme="minorHAnsi" w:eastAsiaTheme="minorEastAsia" w:hAnsiTheme="minorHAnsi" w:cstheme="minorBidi"/>
          <w:b w:val="0"/>
          <w:caps/>
          <w:noProof/>
          <w:sz w:val="20"/>
          <w:szCs w:val="20"/>
          <w:lang w:val="es-ES_tradnl" w:eastAsia="es-ES_tradnl"/>
        </w:rPr>
      </w:pPr>
      <w:r w:rsidRPr="006C1166">
        <w:rPr>
          <w:noProof/>
          <w:sz w:val="20"/>
          <w:szCs w:val="20"/>
        </w:rPr>
        <w:t>CAPITULO 2.</w:t>
      </w:r>
      <w:r w:rsidRPr="006C1166">
        <w:rPr>
          <w:rFonts w:asciiTheme="minorHAnsi" w:eastAsiaTheme="minorEastAsia" w:hAnsiTheme="minorHAnsi" w:cstheme="minorBidi"/>
          <w:b w:val="0"/>
          <w:caps/>
          <w:noProof/>
          <w:sz w:val="20"/>
          <w:szCs w:val="20"/>
          <w:lang w:val="es-ES_tradnl" w:eastAsia="es-ES_tradnl"/>
        </w:rPr>
        <w:tab/>
      </w:r>
      <w:r w:rsidRPr="006C1166">
        <w:rPr>
          <w:noProof/>
          <w:sz w:val="20"/>
          <w:szCs w:val="20"/>
        </w:rPr>
        <w:t>DESCRIPCIÓN DE LAS OBRAS</w:t>
      </w:r>
      <w:r w:rsidRPr="006C1166">
        <w:rPr>
          <w:noProof/>
          <w:sz w:val="20"/>
          <w:szCs w:val="20"/>
        </w:rPr>
        <w:tab/>
      </w:r>
      <w:r w:rsidR="00927113" w:rsidRPr="006C1166">
        <w:rPr>
          <w:noProof/>
          <w:sz w:val="20"/>
          <w:szCs w:val="20"/>
        </w:rPr>
        <w:fldChar w:fldCharType="begin"/>
      </w:r>
      <w:r w:rsidRPr="006C1166">
        <w:rPr>
          <w:noProof/>
          <w:sz w:val="20"/>
          <w:szCs w:val="20"/>
        </w:rPr>
        <w:instrText xml:space="preserve"> PAGEREF _Toc425163581 \h </w:instrText>
      </w:r>
      <w:r w:rsidR="00927113" w:rsidRPr="006C1166">
        <w:rPr>
          <w:noProof/>
          <w:sz w:val="20"/>
          <w:szCs w:val="20"/>
        </w:rPr>
      </w:r>
      <w:r w:rsidR="00927113" w:rsidRPr="006C1166">
        <w:rPr>
          <w:noProof/>
          <w:sz w:val="20"/>
          <w:szCs w:val="20"/>
        </w:rPr>
        <w:fldChar w:fldCharType="separate"/>
      </w:r>
      <w:r w:rsidR="006B1686">
        <w:rPr>
          <w:noProof/>
          <w:sz w:val="20"/>
          <w:szCs w:val="20"/>
        </w:rPr>
        <w:t>313</w:t>
      </w:r>
      <w:r w:rsidR="00927113" w:rsidRPr="006C1166">
        <w:rPr>
          <w:noProof/>
          <w:sz w:val="20"/>
          <w:szCs w:val="20"/>
        </w:rPr>
        <w:fldChar w:fldCharType="end"/>
      </w:r>
    </w:p>
    <w:p w:rsidR="007D483D" w:rsidRPr="006C1166" w:rsidRDefault="007D483D" w:rsidP="00B71B1A">
      <w:pPr>
        <w:pStyle w:val="TDC1"/>
        <w:tabs>
          <w:tab w:val="left" w:pos="1701"/>
        </w:tabs>
        <w:spacing w:line="276" w:lineRule="auto"/>
        <w:ind w:right="-285"/>
        <w:rPr>
          <w:rFonts w:asciiTheme="minorHAnsi" w:eastAsiaTheme="minorEastAsia" w:hAnsiTheme="minorHAnsi" w:cstheme="minorBidi"/>
          <w:b w:val="0"/>
          <w:caps/>
          <w:noProof/>
          <w:sz w:val="20"/>
          <w:szCs w:val="20"/>
          <w:lang w:val="es-ES_tradnl" w:eastAsia="es-ES_tradnl"/>
        </w:rPr>
      </w:pPr>
      <w:r w:rsidRPr="006C1166">
        <w:rPr>
          <w:noProof/>
          <w:sz w:val="20"/>
          <w:szCs w:val="20"/>
        </w:rPr>
        <w:t>CAPITULO 3.</w:t>
      </w:r>
      <w:r w:rsidRPr="006C1166">
        <w:rPr>
          <w:rFonts w:asciiTheme="minorHAnsi" w:eastAsiaTheme="minorEastAsia" w:hAnsiTheme="minorHAnsi" w:cstheme="minorBidi"/>
          <w:b w:val="0"/>
          <w:caps/>
          <w:noProof/>
          <w:sz w:val="20"/>
          <w:szCs w:val="20"/>
          <w:lang w:val="es-ES_tradnl" w:eastAsia="es-ES_tradnl"/>
        </w:rPr>
        <w:tab/>
      </w:r>
      <w:r w:rsidRPr="006C1166">
        <w:rPr>
          <w:noProof/>
          <w:sz w:val="20"/>
          <w:szCs w:val="20"/>
        </w:rPr>
        <w:t>COMPATIBILIDAD DE DOCUMENTOS</w:t>
      </w:r>
      <w:r w:rsidRPr="006C1166">
        <w:rPr>
          <w:noProof/>
          <w:sz w:val="20"/>
          <w:szCs w:val="20"/>
        </w:rPr>
        <w:tab/>
      </w:r>
      <w:r w:rsidR="00927113" w:rsidRPr="006C1166">
        <w:rPr>
          <w:noProof/>
          <w:sz w:val="20"/>
          <w:szCs w:val="20"/>
        </w:rPr>
        <w:fldChar w:fldCharType="begin"/>
      </w:r>
      <w:r w:rsidRPr="006C1166">
        <w:rPr>
          <w:noProof/>
          <w:sz w:val="20"/>
          <w:szCs w:val="20"/>
        </w:rPr>
        <w:instrText xml:space="preserve"> PAGEREF _Toc425163582 \h </w:instrText>
      </w:r>
      <w:r w:rsidR="00927113" w:rsidRPr="006C1166">
        <w:rPr>
          <w:noProof/>
          <w:sz w:val="20"/>
          <w:szCs w:val="20"/>
        </w:rPr>
      </w:r>
      <w:r w:rsidR="00927113" w:rsidRPr="006C1166">
        <w:rPr>
          <w:noProof/>
          <w:sz w:val="20"/>
          <w:szCs w:val="20"/>
        </w:rPr>
        <w:fldChar w:fldCharType="separate"/>
      </w:r>
      <w:r w:rsidR="006B1686">
        <w:rPr>
          <w:noProof/>
          <w:sz w:val="20"/>
          <w:szCs w:val="20"/>
        </w:rPr>
        <w:t>313</w:t>
      </w:r>
      <w:r w:rsidR="00927113" w:rsidRPr="006C1166">
        <w:rPr>
          <w:noProof/>
          <w:sz w:val="20"/>
          <w:szCs w:val="20"/>
        </w:rPr>
        <w:fldChar w:fldCharType="end"/>
      </w:r>
    </w:p>
    <w:p w:rsidR="007D483D" w:rsidRPr="006C1166" w:rsidRDefault="007D483D" w:rsidP="00B71B1A">
      <w:pPr>
        <w:pStyle w:val="TDC1"/>
        <w:tabs>
          <w:tab w:val="left" w:pos="1701"/>
        </w:tabs>
        <w:spacing w:line="276" w:lineRule="auto"/>
        <w:ind w:right="-285"/>
        <w:rPr>
          <w:rFonts w:asciiTheme="minorHAnsi" w:eastAsiaTheme="minorEastAsia" w:hAnsiTheme="minorHAnsi" w:cstheme="minorBidi"/>
          <w:b w:val="0"/>
          <w:caps/>
          <w:noProof/>
          <w:sz w:val="20"/>
          <w:szCs w:val="20"/>
          <w:lang w:val="es-ES_tradnl" w:eastAsia="es-ES_tradnl"/>
        </w:rPr>
      </w:pPr>
      <w:r w:rsidRPr="006C1166">
        <w:rPr>
          <w:noProof/>
          <w:sz w:val="20"/>
          <w:szCs w:val="20"/>
        </w:rPr>
        <w:t>CAPITULO 4.</w:t>
      </w:r>
      <w:r w:rsidRPr="006C1166">
        <w:rPr>
          <w:rFonts w:asciiTheme="minorHAnsi" w:eastAsiaTheme="minorEastAsia" w:hAnsiTheme="minorHAnsi" w:cstheme="minorBidi"/>
          <w:b w:val="0"/>
          <w:caps/>
          <w:noProof/>
          <w:sz w:val="20"/>
          <w:szCs w:val="20"/>
          <w:lang w:val="es-ES_tradnl" w:eastAsia="es-ES_tradnl"/>
        </w:rPr>
        <w:tab/>
      </w:r>
      <w:r w:rsidRPr="006C1166">
        <w:rPr>
          <w:noProof/>
          <w:sz w:val="20"/>
          <w:szCs w:val="20"/>
        </w:rPr>
        <w:t>MATERIALES EN CONTACTO CON AGUA DE CONSUMO HUMANO</w:t>
      </w:r>
      <w:r w:rsidRPr="006C1166">
        <w:rPr>
          <w:noProof/>
          <w:sz w:val="20"/>
          <w:szCs w:val="20"/>
        </w:rPr>
        <w:tab/>
      </w:r>
      <w:r w:rsidR="00927113" w:rsidRPr="006C1166">
        <w:rPr>
          <w:noProof/>
          <w:sz w:val="20"/>
          <w:szCs w:val="20"/>
        </w:rPr>
        <w:fldChar w:fldCharType="begin"/>
      </w:r>
      <w:r w:rsidRPr="006C1166">
        <w:rPr>
          <w:noProof/>
          <w:sz w:val="20"/>
          <w:szCs w:val="20"/>
        </w:rPr>
        <w:instrText xml:space="preserve"> PAGEREF _Toc425163583 \h </w:instrText>
      </w:r>
      <w:r w:rsidR="00927113" w:rsidRPr="006C1166">
        <w:rPr>
          <w:noProof/>
          <w:sz w:val="20"/>
          <w:szCs w:val="20"/>
        </w:rPr>
      </w:r>
      <w:r w:rsidR="00927113" w:rsidRPr="006C1166">
        <w:rPr>
          <w:noProof/>
          <w:sz w:val="20"/>
          <w:szCs w:val="20"/>
        </w:rPr>
        <w:fldChar w:fldCharType="separate"/>
      </w:r>
      <w:r w:rsidR="006B1686">
        <w:rPr>
          <w:noProof/>
          <w:sz w:val="20"/>
          <w:szCs w:val="20"/>
        </w:rPr>
        <w:t>313</w:t>
      </w:r>
      <w:r w:rsidR="00927113" w:rsidRPr="006C1166">
        <w:rPr>
          <w:noProof/>
          <w:sz w:val="20"/>
          <w:szCs w:val="20"/>
        </w:rPr>
        <w:fldChar w:fldCharType="end"/>
      </w:r>
    </w:p>
    <w:p w:rsidR="007D483D" w:rsidRPr="006C1166" w:rsidRDefault="007D483D" w:rsidP="00B71B1A">
      <w:pPr>
        <w:pStyle w:val="TDC1"/>
        <w:tabs>
          <w:tab w:val="left" w:pos="1701"/>
        </w:tabs>
        <w:spacing w:line="276" w:lineRule="auto"/>
        <w:ind w:right="-285"/>
        <w:rPr>
          <w:rFonts w:asciiTheme="minorHAnsi" w:eastAsiaTheme="minorEastAsia" w:hAnsiTheme="minorHAnsi" w:cstheme="minorBidi"/>
          <w:b w:val="0"/>
          <w:caps/>
          <w:noProof/>
          <w:sz w:val="20"/>
          <w:szCs w:val="20"/>
          <w:lang w:val="es-ES_tradnl" w:eastAsia="es-ES_tradnl"/>
        </w:rPr>
      </w:pPr>
      <w:r w:rsidRPr="006C1166">
        <w:rPr>
          <w:noProof/>
          <w:sz w:val="20"/>
          <w:szCs w:val="20"/>
        </w:rPr>
        <w:t>CAPITULO 5.</w:t>
      </w:r>
      <w:r w:rsidRPr="006C1166">
        <w:rPr>
          <w:rFonts w:asciiTheme="minorHAnsi" w:eastAsiaTheme="minorEastAsia" w:hAnsiTheme="minorHAnsi" w:cstheme="minorBidi"/>
          <w:b w:val="0"/>
          <w:caps/>
          <w:noProof/>
          <w:sz w:val="20"/>
          <w:szCs w:val="20"/>
          <w:lang w:val="es-ES_tradnl" w:eastAsia="es-ES_tradnl"/>
        </w:rPr>
        <w:tab/>
      </w:r>
      <w:r w:rsidRPr="006C1166">
        <w:rPr>
          <w:noProof/>
          <w:sz w:val="20"/>
          <w:szCs w:val="20"/>
        </w:rPr>
        <w:t>CONTROL DE CALIDAD</w:t>
      </w:r>
      <w:r w:rsidRPr="006C1166">
        <w:rPr>
          <w:noProof/>
          <w:sz w:val="20"/>
          <w:szCs w:val="20"/>
        </w:rPr>
        <w:tab/>
      </w:r>
      <w:r w:rsidR="00927113" w:rsidRPr="006C1166">
        <w:rPr>
          <w:noProof/>
          <w:sz w:val="20"/>
          <w:szCs w:val="20"/>
        </w:rPr>
        <w:fldChar w:fldCharType="begin"/>
      </w:r>
      <w:r w:rsidRPr="006C1166">
        <w:rPr>
          <w:noProof/>
          <w:sz w:val="20"/>
          <w:szCs w:val="20"/>
        </w:rPr>
        <w:instrText xml:space="preserve"> PAGEREF _Toc425163584 \h </w:instrText>
      </w:r>
      <w:r w:rsidR="00927113" w:rsidRPr="006C1166">
        <w:rPr>
          <w:noProof/>
          <w:sz w:val="20"/>
          <w:szCs w:val="20"/>
        </w:rPr>
      </w:r>
      <w:r w:rsidR="00927113" w:rsidRPr="006C1166">
        <w:rPr>
          <w:noProof/>
          <w:sz w:val="20"/>
          <w:szCs w:val="20"/>
        </w:rPr>
        <w:fldChar w:fldCharType="separate"/>
      </w:r>
      <w:r w:rsidR="006B1686">
        <w:rPr>
          <w:noProof/>
          <w:sz w:val="20"/>
          <w:szCs w:val="20"/>
        </w:rPr>
        <w:t>314</w:t>
      </w:r>
      <w:r w:rsidR="00927113" w:rsidRPr="006C1166">
        <w:rPr>
          <w:noProof/>
          <w:sz w:val="20"/>
          <w:szCs w:val="20"/>
        </w:rPr>
        <w:fldChar w:fldCharType="end"/>
      </w:r>
    </w:p>
    <w:p w:rsidR="007D483D" w:rsidRPr="006C1166" w:rsidRDefault="007D483D" w:rsidP="00B71B1A">
      <w:pPr>
        <w:pStyle w:val="TDC1"/>
        <w:tabs>
          <w:tab w:val="left" w:pos="1701"/>
        </w:tabs>
        <w:spacing w:line="276" w:lineRule="auto"/>
        <w:ind w:right="-285"/>
        <w:rPr>
          <w:rFonts w:asciiTheme="minorHAnsi" w:eastAsiaTheme="minorEastAsia" w:hAnsiTheme="minorHAnsi" w:cstheme="minorBidi"/>
          <w:b w:val="0"/>
          <w:caps/>
          <w:noProof/>
          <w:sz w:val="20"/>
          <w:szCs w:val="20"/>
          <w:lang w:val="es-ES_tradnl" w:eastAsia="es-ES_tradnl"/>
        </w:rPr>
      </w:pPr>
      <w:r w:rsidRPr="006C1166">
        <w:rPr>
          <w:noProof/>
          <w:sz w:val="20"/>
          <w:szCs w:val="20"/>
        </w:rPr>
        <w:t>CAPITULO 6.</w:t>
      </w:r>
      <w:r w:rsidRPr="006C1166">
        <w:rPr>
          <w:rFonts w:asciiTheme="minorHAnsi" w:eastAsiaTheme="minorEastAsia" w:hAnsiTheme="minorHAnsi" w:cstheme="minorBidi"/>
          <w:b w:val="0"/>
          <w:caps/>
          <w:noProof/>
          <w:sz w:val="20"/>
          <w:szCs w:val="20"/>
          <w:lang w:val="es-ES_tradnl" w:eastAsia="es-ES_tradnl"/>
        </w:rPr>
        <w:tab/>
      </w:r>
      <w:r w:rsidR="00C6794B" w:rsidRPr="006C1166">
        <w:rPr>
          <w:noProof/>
          <w:sz w:val="20"/>
          <w:szCs w:val="20"/>
        </w:rPr>
        <w:t>CÁLCULOS ESTRUCTURALES</w:t>
      </w:r>
      <w:r w:rsidR="00D532CB" w:rsidRPr="006C1166">
        <w:rPr>
          <w:noProof/>
          <w:sz w:val="20"/>
          <w:szCs w:val="20"/>
        </w:rPr>
        <w:tab/>
      </w:r>
      <w:r w:rsidR="00927113" w:rsidRPr="006C1166">
        <w:rPr>
          <w:noProof/>
          <w:sz w:val="20"/>
          <w:szCs w:val="20"/>
        </w:rPr>
        <w:fldChar w:fldCharType="begin"/>
      </w:r>
      <w:r w:rsidR="00D532CB" w:rsidRPr="006C1166">
        <w:rPr>
          <w:noProof/>
          <w:sz w:val="20"/>
          <w:szCs w:val="20"/>
        </w:rPr>
        <w:instrText xml:space="preserve"> PAGEREF _Toc425163584 \h </w:instrText>
      </w:r>
      <w:r w:rsidR="00927113" w:rsidRPr="006C1166">
        <w:rPr>
          <w:noProof/>
          <w:sz w:val="20"/>
          <w:szCs w:val="20"/>
        </w:rPr>
      </w:r>
      <w:r w:rsidR="00927113" w:rsidRPr="006C1166">
        <w:rPr>
          <w:noProof/>
          <w:sz w:val="20"/>
          <w:szCs w:val="20"/>
        </w:rPr>
        <w:fldChar w:fldCharType="separate"/>
      </w:r>
      <w:r w:rsidR="006B1686">
        <w:rPr>
          <w:noProof/>
          <w:sz w:val="20"/>
          <w:szCs w:val="20"/>
        </w:rPr>
        <w:t>314</w:t>
      </w:r>
      <w:r w:rsidR="00927113" w:rsidRPr="006C1166">
        <w:rPr>
          <w:noProof/>
          <w:sz w:val="20"/>
          <w:szCs w:val="20"/>
        </w:rPr>
        <w:fldChar w:fldCharType="end"/>
      </w:r>
    </w:p>
    <w:p w:rsidR="008A44F7" w:rsidRDefault="00927113" w:rsidP="00B71B1A">
      <w:pPr>
        <w:tabs>
          <w:tab w:val="left" w:pos="1701"/>
          <w:tab w:val="left" w:pos="5991"/>
        </w:tabs>
        <w:spacing w:line="276" w:lineRule="auto"/>
        <w:ind w:right="-285"/>
        <w:rPr>
          <w:b/>
          <w:caps/>
          <w:noProof/>
          <w:szCs w:val="28"/>
        </w:rPr>
        <w:sectPr w:rsidR="008A44F7" w:rsidSect="00094D4E">
          <w:pgSz w:w="11906" w:h="16838" w:code="9"/>
          <w:pgMar w:top="1417" w:right="1701" w:bottom="1417" w:left="1701" w:header="709" w:footer="709" w:gutter="0"/>
          <w:cols w:space="720"/>
          <w:titlePg/>
        </w:sectPr>
      </w:pPr>
      <w:r w:rsidRPr="006C1166">
        <w:rPr>
          <w:b/>
          <w:caps/>
          <w:noProof/>
          <w:sz w:val="20"/>
          <w:szCs w:val="20"/>
        </w:rPr>
        <w:fldChar w:fldCharType="end"/>
      </w:r>
    </w:p>
    <w:p w:rsidR="007D483D" w:rsidRPr="00437125" w:rsidRDefault="007D483D" w:rsidP="00B71B1A">
      <w:pPr>
        <w:pStyle w:val="Prrafodelista"/>
        <w:numPr>
          <w:ilvl w:val="0"/>
          <w:numId w:val="36"/>
        </w:numPr>
        <w:ind w:right="-285"/>
        <w:rPr>
          <w:rFonts w:ascii="Arial" w:hAnsi="Arial" w:cs="Arial"/>
          <w:b/>
          <w:sz w:val="24"/>
          <w:szCs w:val="24"/>
          <w:u w:val="single"/>
        </w:rPr>
      </w:pPr>
      <w:bookmarkStart w:id="897" w:name="_Toc414200193"/>
      <w:bookmarkStart w:id="898" w:name="_Toc414200415"/>
      <w:bookmarkStart w:id="899" w:name="_Toc425163580"/>
      <w:bookmarkEnd w:id="897"/>
      <w:bookmarkEnd w:id="898"/>
      <w:r w:rsidRPr="00437125">
        <w:rPr>
          <w:rFonts w:ascii="Arial" w:hAnsi="Arial" w:cs="Arial"/>
          <w:b/>
          <w:sz w:val="24"/>
          <w:szCs w:val="24"/>
          <w:u w:val="single"/>
        </w:rPr>
        <w:lastRenderedPageBreak/>
        <w:t>OBJETO DEL PLIEGO</w:t>
      </w:r>
      <w:bookmarkEnd w:id="899"/>
    </w:p>
    <w:p w:rsidR="007D483D" w:rsidRDefault="007D483D" w:rsidP="00B71B1A">
      <w:pPr>
        <w:spacing w:before="120" w:after="240" w:line="276" w:lineRule="auto"/>
        <w:ind w:right="-285"/>
      </w:pPr>
      <w:r>
        <w:t>El presente Pliego de Prescripciones Técnicas Particulares tiene por objeto regular las obras correspondientes al</w:t>
      </w:r>
      <w:r w:rsidR="006C1166">
        <w:t xml:space="preserve"> </w:t>
      </w:r>
      <w:r w:rsidR="002B340F">
        <w:rPr>
          <w:rFonts w:cs="Arial"/>
          <w:bCs/>
          <w:lang w:val="es-ES_tradnl"/>
        </w:rPr>
        <w:t>PROYECTO CR-02</w:t>
      </w:r>
      <w:r w:rsidR="004A6A0E">
        <w:rPr>
          <w:rFonts w:cs="Arial"/>
          <w:bCs/>
          <w:lang w:val="es-ES_tradnl"/>
        </w:rPr>
        <w:t>7</w:t>
      </w:r>
      <w:r w:rsidR="00B24568" w:rsidRPr="00FE3466">
        <w:rPr>
          <w:rFonts w:cs="Arial"/>
          <w:bCs/>
          <w:lang w:val="es-ES_tradnl"/>
        </w:rPr>
        <w:t>-16-CS D</w:t>
      </w:r>
      <w:r w:rsidR="00BE6372">
        <w:rPr>
          <w:rFonts w:cs="Arial"/>
          <w:bCs/>
          <w:lang w:val="es-ES_tradnl"/>
        </w:rPr>
        <w:t xml:space="preserve">E RENOVACIÓN DE </w:t>
      </w:r>
      <w:r w:rsidR="00517F9B">
        <w:rPr>
          <w:rFonts w:cs="Arial"/>
          <w:bCs/>
          <w:lang w:val="es-ES_tradnl"/>
        </w:rPr>
        <w:t xml:space="preserve">RED EN LA CALLE </w:t>
      </w:r>
      <w:r w:rsidR="004A6A0E">
        <w:rPr>
          <w:rFonts w:cs="Arial"/>
          <w:bCs/>
          <w:lang w:val="es-ES_tradnl"/>
        </w:rPr>
        <w:t>GUADALAJARA</w:t>
      </w:r>
      <w:r w:rsidR="00BE6372">
        <w:rPr>
          <w:rFonts w:cs="Arial"/>
          <w:bCs/>
          <w:lang w:val="es-ES_tradnl"/>
        </w:rPr>
        <w:t xml:space="preserve"> Y OTRAS</w:t>
      </w:r>
      <w:r w:rsidR="00BD28CC">
        <w:rPr>
          <w:rFonts w:cs="Arial"/>
          <w:bCs/>
          <w:lang w:val="es-ES_tradnl"/>
        </w:rPr>
        <w:t xml:space="preserve"> EN EL </w:t>
      </w:r>
      <w:r w:rsidR="004A6A0E">
        <w:rPr>
          <w:rFonts w:cs="Arial"/>
          <w:bCs/>
          <w:lang w:val="es-ES_tradnl"/>
        </w:rPr>
        <w:t>T. M. DE VILLAREJO DE SALVANÉS</w:t>
      </w:r>
      <w:r w:rsidR="00517F9B">
        <w:t>,</w:t>
      </w:r>
      <w:r>
        <w:t xml:space="preserve"> especificando las características técnicas de los equipos y materiales a suministrar por el Contratista, así como las condiciones de su instalación y puesta en obra.</w:t>
      </w:r>
    </w:p>
    <w:p w:rsidR="007D483D" w:rsidRDefault="007D483D" w:rsidP="00B71B1A">
      <w:pPr>
        <w:spacing w:before="120" w:after="240" w:line="276" w:lineRule="auto"/>
        <w:ind w:right="-285"/>
      </w:pPr>
      <w:r>
        <w:t>Se establecen también en este Pliego diversas condiciones particulares que afectan al desarrollo de las obras, su medición y abono.</w:t>
      </w:r>
    </w:p>
    <w:p w:rsidR="007D483D" w:rsidRPr="00437125" w:rsidRDefault="007D483D" w:rsidP="00B71B1A">
      <w:pPr>
        <w:pStyle w:val="Prrafodelista"/>
        <w:numPr>
          <w:ilvl w:val="0"/>
          <w:numId w:val="36"/>
        </w:numPr>
        <w:ind w:right="-285"/>
        <w:rPr>
          <w:rFonts w:ascii="Arial" w:hAnsi="Arial" w:cs="Arial"/>
          <w:b/>
          <w:sz w:val="24"/>
          <w:szCs w:val="24"/>
          <w:u w:val="single"/>
        </w:rPr>
      </w:pPr>
      <w:bookmarkStart w:id="900" w:name="_Toc414200194"/>
      <w:bookmarkStart w:id="901" w:name="_Toc414200416"/>
      <w:bookmarkStart w:id="902" w:name="_Toc425163581"/>
      <w:bookmarkEnd w:id="900"/>
      <w:bookmarkEnd w:id="901"/>
      <w:r w:rsidRPr="00437125">
        <w:rPr>
          <w:rFonts w:ascii="Arial" w:hAnsi="Arial" w:cs="Arial"/>
          <w:b/>
          <w:sz w:val="24"/>
          <w:szCs w:val="24"/>
          <w:u w:val="single"/>
        </w:rPr>
        <w:t>DESCRIPCIÓN DE LAS OBRAS</w:t>
      </w:r>
      <w:bookmarkEnd w:id="902"/>
    </w:p>
    <w:p w:rsidR="007D483D" w:rsidRDefault="007D483D" w:rsidP="00B71B1A">
      <w:pPr>
        <w:spacing w:before="120" w:after="240" w:line="276" w:lineRule="auto"/>
        <w:ind w:right="-285"/>
      </w:pPr>
      <w:r>
        <w:t xml:space="preserve">A efectos de su aplicación en el presente Pliego de Condiciones, la descripción de la obra es la que se halla contenida en el apartado correspondiente del Documento nº 1 “Memoria y Anejos”, denominado así mismo “Descripción de la Obra”. </w:t>
      </w:r>
    </w:p>
    <w:p w:rsidR="007D483D" w:rsidRPr="00437125" w:rsidRDefault="007D483D" w:rsidP="00B71B1A">
      <w:pPr>
        <w:pStyle w:val="Prrafodelista"/>
        <w:numPr>
          <w:ilvl w:val="0"/>
          <w:numId w:val="36"/>
        </w:numPr>
        <w:ind w:right="-285"/>
        <w:rPr>
          <w:rFonts w:ascii="Arial" w:hAnsi="Arial" w:cs="Arial"/>
          <w:b/>
          <w:sz w:val="24"/>
          <w:szCs w:val="24"/>
          <w:u w:val="single"/>
        </w:rPr>
      </w:pPr>
      <w:bookmarkStart w:id="903" w:name="_Toc425163582"/>
      <w:r w:rsidRPr="00437125">
        <w:rPr>
          <w:rFonts w:ascii="Arial" w:hAnsi="Arial" w:cs="Arial"/>
          <w:b/>
          <w:sz w:val="24"/>
          <w:szCs w:val="24"/>
          <w:u w:val="single"/>
        </w:rPr>
        <w:t>COMPATIBILIDAD DE DOCUMENTOS</w:t>
      </w:r>
      <w:bookmarkEnd w:id="903"/>
    </w:p>
    <w:p w:rsidR="007D483D" w:rsidRDefault="007D483D" w:rsidP="00B71B1A">
      <w:pPr>
        <w:spacing w:before="120" w:after="240" w:line="276" w:lineRule="auto"/>
        <w:ind w:right="-285"/>
      </w:pPr>
      <w:r>
        <w:t xml:space="preserve">Canal de Isabel II Gestión facilitará al Adjudicatario </w:t>
      </w:r>
      <w:proofErr w:type="gramStart"/>
      <w:r>
        <w:t>un</w:t>
      </w:r>
      <w:proofErr w:type="gramEnd"/>
      <w:r>
        <w:t xml:space="preserve"> ejemplar copia del Proyecto, así como la documentación complementaria que considere necesaria para la correcta definición de las obras a ejecutar.</w:t>
      </w:r>
    </w:p>
    <w:p w:rsidR="007D483D" w:rsidRDefault="007D483D" w:rsidP="00B71B1A">
      <w:pPr>
        <w:spacing w:before="120" w:after="240" w:line="276" w:lineRule="auto"/>
        <w:ind w:right="-285"/>
      </w:pPr>
      <w:r>
        <w:t>Cualquier contradicción observada entre los documentos del Proyecto, o entre éste y la normativa general aplicable, así como los posibles errores u omisiones que pudieran encontrarse deberá comunicarse al Director de las Obras, a fin de que dictamine las características definitivas de las obras a ejecutar</w:t>
      </w:r>
      <w:r w:rsidR="00F81844">
        <w:t>.</w:t>
      </w:r>
    </w:p>
    <w:p w:rsidR="007D483D" w:rsidRPr="00437125" w:rsidRDefault="007D483D" w:rsidP="00B71B1A">
      <w:pPr>
        <w:pStyle w:val="Prrafodelista"/>
        <w:numPr>
          <w:ilvl w:val="0"/>
          <w:numId w:val="36"/>
        </w:numPr>
        <w:ind w:right="-285"/>
        <w:rPr>
          <w:rFonts w:ascii="Arial" w:hAnsi="Arial" w:cs="Arial"/>
          <w:b/>
          <w:sz w:val="24"/>
          <w:szCs w:val="24"/>
          <w:u w:val="single"/>
        </w:rPr>
      </w:pPr>
      <w:bookmarkStart w:id="904" w:name="_Toc425163583"/>
      <w:r w:rsidRPr="00437125">
        <w:rPr>
          <w:rFonts w:ascii="Arial" w:hAnsi="Arial" w:cs="Arial"/>
          <w:b/>
          <w:sz w:val="24"/>
          <w:szCs w:val="24"/>
          <w:u w:val="single"/>
        </w:rPr>
        <w:t>MATERIALES EN CONTACTO CON AGUA DE CONSUMO HUMANO</w:t>
      </w:r>
      <w:bookmarkEnd w:id="904"/>
    </w:p>
    <w:p w:rsidR="007D483D" w:rsidRDefault="007D483D" w:rsidP="00B71B1A">
      <w:pPr>
        <w:spacing w:before="120" w:after="240" w:line="276" w:lineRule="auto"/>
        <w:ind w:right="-285"/>
      </w:pPr>
      <w:r>
        <w:t>Conforme a lo establecido en el RD 140/2003 por el que se establecen los criterios sanitarios de la calidad del agua de consumo humano, ninguno de los componentes en contacto con el agua para consumo humano debe producir alteración alguna en las características físicas, químicas, bacteriológicas y organolépticas del agua, teniendo en cuenta el tiempo y los tratamientos físico-químicos a que ésta haya podido ser sometida.</w:t>
      </w:r>
    </w:p>
    <w:p w:rsidR="007D483D" w:rsidRDefault="007D483D" w:rsidP="00B71B1A">
      <w:pPr>
        <w:spacing w:before="120" w:after="240" w:line="276" w:lineRule="auto"/>
        <w:ind w:right="-285"/>
      </w:pPr>
      <w:r>
        <w:t>Si el contacto del agua con los componentes se produce a través de una protección, esta deberá cumplir con los requerimientos exigidos.</w:t>
      </w:r>
    </w:p>
    <w:p w:rsidR="007D483D" w:rsidRDefault="007D483D" w:rsidP="00B71B1A">
      <w:pPr>
        <w:spacing w:before="120" w:after="240" w:line="276" w:lineRule="auto"/>
        <w:ind w:right="-285"/>
      </w:pPr>
      <w:r>
        <w:t>Los fabricantes deberán aportar la documentación de aptitud positiva de materiales y componentes en contacto con agua para consumo humano.</w:t>
      </w:r>
    </w:p>
    <w:p w:rsidR="00FE3466" w:rsidRDefault="007D483D" w:rsidP="00B71B1A">
      <w:pPr>
        <w:spacing w:before="120" w:after="240" w:line="276" w:lineRule="auto"/>
        <w:ind w:right="-285"/>
      </w:pPr>
      <w:r>
        <w:t>La Dirección de obra valorará la validez y suficiencia de la documentación presentada pudiendo solicitar documentación o ensayos adicionales.</w:t>
      </w:r>
    </w:p>
    <w:p w:rsidR="00FE3466" w:rsidRDefault="00FE3466">
      <w:pPr>
        <w:widowControl/>
        <w:autoSpaceDE/>
        <w:autoSpaceDN/>
        <w:adjustRightInd/>
        <w:spacing w:line="240" w:lineRule="auto"/>
        <w:jc w:val="left"/>
      </w:pPr>
      <w:r>
        <w:br w:type="page"/>
      </w:r>
    </w:p>
    <w:p w:rsidR="007D483D" w:rsidRDefault="007D483D" w:rsidP="00B71B1A">
      <w:pPr>
        <w:spacing w:before="120" w:after="240" w:line="276" w:lineRule="auto"/>
        <w:ind w:right="-285"/>
      </w:pPr>
    </w:p>
    <w:p w:rsidR="007D483D" w:rsidRPr="00437125" w:rsidRDefault="007D483D" w:rsidP="00B71B1A">
      <w:pPr>
        <w:pStyle w:val="Prrafodelista"/>
        <w:numPr>
          <w:ilvl w:val="0"/>
          <w:numId w:val="36"/>
        </w:numPr>
        <w:ind w:right="-285"/>
        <w:rPr>
          <w:rFonts w:ascii="Arial" w:hAnsi="Arial" w:cs="Arial"/>
          <w:b/>
          <w:sz w:val="24"/>
          <w:szCs w:val="24"/>
          <w:u w:val="single"/>
        </w:rPr>
      </w:pPr>
      <w:bookmarkStart w:id="905" w:name="_Toc425163584"/>
      <w:r w:rsidRPr="00437125">
        <w:rPr>
          <w:rFonts w:ascii="Arial" w:hAnsi="Arial" w:cs="Arial"/>
          <w:b/>
          <w:sz w:val="24"/>
          <w:szCs w:val="24"/>
          <w:u w:val="single"/>
        </w:rPr>
        <w:t>CONTROL DE CALIDAD</w:t>
      </w:r>
      <w:bookmarkEnd w:id="905"/>
    </w:p>
    <w:p w:rsidR="007D483D" w:rsidRDefault="007D483D" w:rsidP="00B71B1A">
      <w:pPr>
        <w:spacing w:before="120" w:after="240" w:line="276" w:lineRule="auto"/>
        <w:ind w:right="-285"/>
      </w:pPr>
      <w:r>
        <w:t>El presente proyecto contiene una propuesta de anejo de Control de Calidad. El Adjudicatario realizará un anejo de Control de Calidad propio, y las empresas que realicen dichas pruebas y certifiquen la calidad deberán contar con la aceptación previa de Canal de Isabel II Gestión, S.A.</w:t>
      </w:r>
    </w:p>
    <w:p w:rsidR="007D483D" w:rsidRPr="00437125" w:rsidRDefault="00C6794B" w:rsidP="00B71B1A">
      <w:pPr>
        <w:pStyle w:val="Prrafodelista"/>
        <w:numPr>
          <w:ilvl w:val="0"/>
          <w:numId w:val="36"/>
        </w:numPr>
        <w:ind w:right="-285"/>
        <w:rPr>
          <w:rFonts w:ascii="Arial" w:hAnsi="Arial" w:cs="Arial"/>
          <w:b/>
          <w:sz w:val="24"/>
          <w:szCs w:val="24"/>
          <w:u w:val="single"/>
        </w:rPr>
      </w:pPr>
      <w:r>
        <w:rPr>
          <w:rFonts w:ascii="Arial" w:hAnsi="Arial" w:cs="Arial"/>
          <w:b/>
          <w:sz w:val="24"/>
          <w:szCs w:val="24"/>
          <w:u w:val="single"/>
        </w:rPr>
        <w:t>CÁLCULOS ESTRUCTURALES</w:t>
      </w:r>
    </w:p>
    <w:p w:rsidR="00C6794B" w:rsidRDefault="00C6794B" w:rsidP="00B71B1A">
      <w:pPr>
        <w:spacing w:before="120" w:after="240" w:line="276" w:lineRule="auto"/>
        <w:ind w:right="-285"/>
      </w:pPr>
      <w:r>
        <w:t>El Contratista Adjudicatario está obligado a presentar cálculos estructurales y planos de armado de todas las estructuras y fábricas a construir. Los cálculos y mediciones del proyecto se tomarán como orientativos con el objeto exclusivo de ofrecer una base para la valoración adecuada de las mismas. Dichos cálculos deberán estar suscritos por un Ingeniero de Caminos, Canales y Puertos colegiado.</w:t>
      </w:r>
    </w:p>
    <w:p w:rsidR="00C6794B" w:rsidRDefault="00C6794B" w:rsidP="00B71B1A">
      <w:pPr>
        <w:spacing w:before="120" w:after="240" w:line="276" w:lineRule="auto"/>
        <w:ind w:right="-285"/>
      </w:pPr>
      <w:r>
        <w:t>No se iniciarán las obras de ejecución de cada fábrica o estructura sin la aprobación previa del Director de las Obras a los cálculos y planos correspondientes presentados por el Adjudicatario.</w:t>
      </w:r>
    </w:p>
    <w:p w:rsidR="00C6794B" w:rsidRDefault="00C6794B" w:rsidP="00B71B1A">
      <w:pPr>
        <w:spacing w:before="120" w:after="240" w:line="276" w:lineRule="auto"/>
        <w:ind w:right="-285"/>
        <w:rPr>
          <w:highlight w:val="yellow"/>
        </w:rPr>
      </w:pPr>
      <w:r>
        <w:t>El cálculo estructural presentado en el proyecto se ha realizado a modo de Anteproyecto, como predimensionamiento para estimar una valoración económica.</w:t>
      </w:r>
    </w:p>
    <w:tbl>
      <w:tblPr>
        <w:tblW w:w="9039" w:type="dxa"/>
        <w:tblLook w:val="01E0" w:firstRow="1" w:lastRow="1" w:firstColumn="1" w:lastColumn="1" w:noHBand="0" w:noVBand="0"/>
      </w:tblPr>
      <w:tblGrid>
        <w:gridCol w:w="4644"/>
        <w:gridCol w:w="4395"/>
      </w:tblGrid>
      <w:tr w:rsidR="006C1166" w:rsidRPr="00DE3408" w:rsidTr="00687E83">
        <w:trPr>
          <w:trHeight w:val="347"/>
        </w:trPr>
        <w:tc>
          <w:tcPr>
            <w:tcW w:w="9039" w:type="dxa"/>
            <w:gridSpan w:val="2"/>
            <w:vAlign w:val="center"/>
          </w:tcPr>
          <w:p w:rsidR="006C1166" w:rsidRPr="00DE3408" w:rsidRDefault="006C1166" w:rsidP="00FE3466">
            <w:pPr>
              <w:suppressAutoHyphens/>
              <w:jc w:val="right"/>
              <w:rPr>
                <w:rFonts w:cs="Arial"/>
                <w:b/>
                <w:snapToGrid w:val="0"/>
                <w:szCs w:val="22"/>
              </w:rPr>
            </w:pPr>
            <w:r w:rsidRPr="00DE3408">
              <w:rPr>
                <w:rFonts w:cs="Arial"/>
                <w:b/>
                <w:snapToGrid w:val="0"/>
                <w:szCs w:val="22"/>
              </w:rPr>
              <w:t xml:space="preserve">Madrid, </w:t>
            </w:r>
            <w:r w:rsidR="002B340F">
              <w:rPr>
                <w:rFonts w:cs="Arial"/>
                <w:b/>
                <w:snapToGrid w:val="0"/>
                <w:szCs w:val="22"/>
              </w:rPr>
              <w:t>Ju</w:t>
            </w:r>
            <w:r w:rsidR="004A6A0E">
              <w:rPr>
                <w:rFonts w:cs="Arial"/>
                <w:b/>
                <w:snapToGrid w:val="0"/>
                <w:szCs w:val="22"/>
              </w:rPr>
              <w:t>l</w:t>
            </w:r>
            <w:r w:rsidR="00E10D38">
              <w:rPr>
                <w:rFonts w:cs="Arial"/>
                <w:b/>
                <w:snapToGrid w:val="0"/>
                <w:szCs w:val="22"/>
              </w:rPr>
              <w:t>io</w:t>
            </w:r>
            <w:r>
              <w:rPr>
                <w:rFonts w:cs="Arial"/>
                <w:b/>
                <w:snapToGrid w:val="0"/>
                <w:szCs w:val="22"/>
              </w:rPr>
              <w:t xml:space="preserve"> de 2.016</w:t>
            </w:r>
          </w:p>
        </w:tc>
      </w:tr>
      <w:tr w:rsidR="006C1166" w:rsidRPr="00DE3408" w:rsidTr="00687E83">
        <w:trPr>
          <w:trHeight w:val="201"/>
        </w:trPr>
        <w:tc>
          <w:tcPr>
            <w:tcW w:w="9039" w:type="dxa"/>
            <w:gridSpan w:val="2"/>
            <w:vAlign w:val="center"/>
          </w:tcPr>
          <w:p w:rsidR="006C1166" w:rsidRDefault="006C1166" w:rsidP="00687E83">
            <w:pPr>
              <w:jc w:val="left"/>
              <w:rPr>
                <w:rFonts w:cs="Arial"/>
                <w:snapToGrid w:val="0"/>
                <w:szCs w:val="22"/>
              </w:rPr>
            </w:pPr>
          </w:p>
          <w:p w:rsidR="006C1166" w:rsidRDefault="006C1166" w:rsidP="00687E83">
            <w:pPr>
              <w:jc w:val="left"/>
              <w:rPr>
                <w:rFonts w:cs="Arial"/>
                <w:snapToGrid w:val="0"/>
                <w:szCs w:val="22"/>
              </w:rPr>
            </w:pPr>
          </w:p>
          <w:p w:rsidR="006C1166" w:rsidRPr="00DE3408" w:rsidRDefault="006C1166" w:rsidP="00687E83">
            <w:pPr>
              <w:jc w:val="left"/>
              <w:rPr>
                <w:rFonts w:cs="Arial"/>
                <w:snapToGrid w:val="0"/>
                <w:szCs w:val="22"/>
              </w:rPr>
            </w:pPr>
          </w:p>
        </w:tc>
      </w:tr>
      <w:tr w:rsidR="006C1166" w:rsidRPr="00DE3408" w:rsidTr="00687E83">
        <w:tc>
          <w:tcPr>
            <w:tcW w:w="4644" w:type="dxa"/>
          </w:tcPr>
          <w:p w:rsidR="006C1166" w:rsidRPr="00DE3408" w:rsidRDefault="006C1166" w:rsidP="00687E83">
            <w:pPr>
              <w:spacing w:line="240" w:lineRule="atLeast"/>
              <w:jc w:val="left"/>
              <w:rPr>
                <w:rFonts w:cs="Arial"/>
                <w:b/>
                <w:snapToGrid w:val="0"/>
                <w:szCs w:val="22"/>
              </w:rPr>
            </w:pPr>
            <w:r w:rsidRPr="00DE3408">
              <w:rPr>
                <w:rFonts w:cs="Arial"/>
                <w:b/>
                <w:snapToGrid w:val="0"/>
                <w:szCs w:val="22"/>
              </w:rPr>
              <w:t>AUTOR DEL PROYECTO</w:t>
            </w:r>
          </w:p>
          <w:p w:rsidR="006C1166" w:rsidRPr="00DE3408" w:rsidRDefault="006C1166" w:rsidP="00687E83">
            <w:pPr>
              <w:suppressAutoHyphens/>
              <w:spacing w:line="240" w:lineRule="atLeast"/>
              <w:jc w:val="left"/>
              <w:rPr>
                <w:rFonts w:cs="Arial"/>
                <w:b/>
                <w:snapToGrid w:val="0"/>
                <w:szCs w:val="22"/>
              </w:rPr>
            </w:pPr>
          </w:p>
          <w:p w:rsidR="006C1166" w:rsidRPr="00DE3408" w:rsidRDefault="006C1166" w:rsidP="00687E83">
            <w:pPr>
              <w:suppressAutoHyphens/>
              <w:spacing w:line="240" w:lineRule="atLeast"/>
              <w:jc w:val="left"/>
              <w:rPr>
                <w:rFonts w:cs="Arial"/>
                <w:b/>
                <w:snapToGrid w:val="0"/>
                <w:szCs w:val="22"/>
              </w:rPr>
            </w:pPr>
          </w:p>
          <w:p w:rsidR="006C1166" w:rsidRDefault="006C1166" w:rsidP="00687E83">
            <w:pPr>
              <w:suppressAutoHyphens/>
              <w:spacing w:line="240" w:lineRule="atLeast"/>
              <w:jc w:val="left"/>
              <w:rPr>
                <w:rFonts w:cs="Arial"/>
                <w:b/>
                <w:snapToGrid w:val="0"/>
                <w:szCs w:val="22"/>
              </w:rPr>
            </w:pPr>
          </w:p>
          <w:p w:rsidR="006C1166" w:rsidRPr="00DE3408" w:rsidRDefault="006C1166" w:rsidP="00687E83">
            <w:pPr>
              <w:suppressAutoHyphens/>
              <w:spacing w:line="240" w:lineRule="atLeast"/>
              <w:jc w:val="left"/>
              <w:rPr>
                <w:rFonts w:cs="Arial"/>
                <w:b/>
                <w:snapToGrid w:val="0"/>
                <w:szCs w:val="22"/>
              </w:rPr>
            </w:pPr>
          </w:p>
          <w:p w:rsidR="006C1166" w:rsidRPr="00DE3408" w:rsidRDefault="006C1166" w:rsidP="00687E83">
            <w:pPr>
              <w:suppressAutoHyphens/>
              <w:spacing w:line="240" w:lineRule="atLeast"/>
              <w:jc w:val="left"/>
              <w:rPr>
                <w:rFonts w:cs="Arial"/>
                <w:b/>
                <w:snapToGrid w:val="0"/>
                <w:szCs w:val="22"/>
              </w:rPr>
            </w:pPr>
          </w:p>
          <w:p w:rsidR="006C1166" w:rsidRPr="00DE3408" w:rsidRDefault="00534627" w:rsidP="00625637">
            <w:pPr>
              <w:suppressAutoHyphens/>
              <w:spacing w:line="240" w:lineRule="atLeast"/>
              <w:jc w:val="left"/>
              <w:rPr>
                <w:rFonts w:cs="Arial"/>
                <w:b/>
                <w:szCs w:val="22"/>
              </w:rPr>
            </w:pPr>
            <w:r>
              <w:rPr>
                <w:rFonts w:cs="Arial"/>
                <w:b/>
                <w:snapToGrid w:val="0"/>
                <w:szCs w:val="22"/>
              </w:rPr>
              <w:t xml:space="preserve">Fdo: </w:t>
            </w:r>
            <w:r w:rsidR="00E10D38">
              <w:rPr>
                <w:rFonts w:cs="Arial"/>
                <w:b/>
                <w:snapToGrid w:val="0"/>
                <w:szCs w:val="22"/>
              </w:rPr>
              <w:t>Rafael García del Vado</w:t>
            </w:r>
          </w:p>
        </w:tc>
        <w:tc>
          <w:tcPr>
            <w:tcW w:w="4395" w:type="dxa"/>
          </w:tcPr>
          <w:p w:rsidR="006C1166" w:rsidRPr="00DE3408" w:rsidRDefault="006C1166" w:rsidP="00687E83">
            <w:pPr>
              <w:spacing w:line="240" w:lineRule="atLeast"/>
              <w:jc w:val="left"/>
              <w:rPr>
                <w:rFonts w:cs="Arial"/>
                <w:b/>
                <w:snapToGrid w:val="0"/>
                <w:szCs w:val="22"/>
              </w:rPr>
            </w:pPr>
            <w:r w:rsidRPr="00DE3408">
              <w:rPr>
                <w:rFonts w:cs="Arial"/>
                <w:b/>
                <w:snapToGrid w:val="0"/>
                <w:szCs w:val="22"/>
              </w:rPr>
              <w:t>EL DIRECTOR DEL PROYECTO</w:t>
            </w:r>
          </w:p>
          <w:p w:rsidR="006C1166" w:rsidRPr="00DE3408" w:rsidRDefault="006C1166" w:rsidP="00687E83">
            <w:pPr>
              <w:suppressAutoHyphens/>
              <w:spacing w:line="240" w:lineRule="atLeast"/>
              <w:jc w:val="left"/>
              <w:rPr>
                <w:rFonts w:cs="Arial"/>
                <w:b/>
                <w:snapToGrid w:val="0"/>
                <w:szCs w:val="22"/>
              </w:rPr>
            </w:pPr>
          </w:p>
          <w:p w:rsidR="006C1166" w:rsidRPr="00DE3408" w:rsidRDefault="006C1166" w:rsidP="00687E83">
            <w:pPr>
              <w:suppressAutoHyphens/>
              <w:spacing w:line="240" w:lineRule="atLeast"/>
              <w:jc w:val="left"/>
              <w:rPr>
                <w:rFonts w:cs="Arial"/>
                <w:b/>
                <w:snapToGrid w:val="0"/>
                <w:szCs w:val="22"/>
              </w:rPr>
            </w:pPr>
          </w:p>
          <w:p w:rsidR="006C1166" w:rsidRDefault="006C1166" w:rsidP="00687E83">
            <w:pPr>
              <w:suppressAutoHyphens/>
              <w:spacing w:line="240" w:lineRule="atLeast"/>
              <w:jc w:val="left"/>
              <w:rPr>
                <w:rFonts w:cs="Arial"/>
                <w:b/>
                <w:snapToGrid w:val="0"/>
                <w:szCs w:val="22"/>
              </w:rPr>
            </w:pPr>
          </w:p>
          <w:p w:rsidR="006C1166" w:rsidRPr="00DE3408" w:rsidRDefault="006C1166" w:rsidP="00687E83">
            <w:pPr>
              <w:suppressAutoHyphens/>
              <w:spacing w:line="240" w:lineRule="atLeast"/>
              <w:jc w:val="left"/>
              <w:rPr>
                <w:rFonts w:cs="Arial"/>
                <w:b/>
                <w:snapToGrid w:val="0"/>
                <w:szCs w:val="22"/>
              </w:rPr>
            </w:pPr>
          </w:p>
          <w:p w:rsidR="006C1166" w:rsidRPr="00DE3408" w:rsidRDefault="006C1166" w:rsidP="00687E83">
            <w:pPr>
              <w:suppressAutoHyphens/>
              <w:spacing w:line="240" w:lineRule="atLeast"/>
              <w:jc w:val="left"/>
              <w:rPr>
                <w:rFonts w:cs="Arial"/>
                <w:b/>
                <w:snapToGrid w:val="0"/>
                <w:szCs w:val="22"/>
              </w:rPr>
            </w:pPr>
          </w:p>
          <w:p w:rsidR="006C1166" w:rsidRPr="00DE3408" w:rsidRDefault="006C1166" w:rsidP="004A6A0E">
            <w:pPr>
              <w:suppressAutoHyphens/>
              <w:spacing w:line="240" w:lineRule="atLeast"/>
              <w:jc w:val="left"/>
              <w:rPr>
                <w:rFonts w:cs="Arial"/>
                <w:b/>
                <w:szCs w:val="22"/>
              </w:rPr>
            </w:pPr>
            <w:r w:rsidRPr="00DE3408">
              <w:rPr>
                <w:rFonts w:cs="Arial"/>
                <w:b/>
                <w:snapToGrid w:val="0"/>
                <w:szCs w:val="22"/>
              </w:rPr>
              <w:t xml:space="preserve">FDO: </w:t>
            </w:r>
            <w:r w:rsidR="004A6A0E">
              <w:rPr>
                <w:rFonts w:cs="Arial"/>
                <w:b/>
                <w:snapToGrid w:val="0"/>
                <w:szCs w:val="22"/>
              </w:rPr>
              <w:t>Carlos Sarmiento Jiménez</w:t>
            </w:r>
          </w:p>
        </w:tc>
      </w:tr>
      <w:tr w:rsidR="006C1166" w:rsidRPr="00DE3408" w:rsidTr="00687E83">
        <w:trPr>
          <w:trHeight w:val="162"/>
        </w:trPr>
        <w:tc>
          <w:tcPr>
            <w:tcW w:w="9039" w:type="dxa"/>
            <w:gridSpan w:val="2"/>
            <w:vAlign w:val="center"/>
          </w:tcPr>
          <w:p w:rsidR="006C1166" w:rsidRDefault="006C1166" w:rsidP="00687E83">
            <w:pPr>
              <w:suppressAutoHyphens/>
              <w:spacing w:line="240" w:lineRule="atLeast"/>
              <w:jc w:val="center"/>
              <w:rPr>
                <w:rFonts w:cs="Arial"/>
                <w:b/>
                <w:snapToGrid w:val="0"/>
                <w:szCs w:val="22"/>
              </w:rPr>
            </w:pPr>
          </w:p>
          <w:p w:rsidR="006C1166" w:rsidRDefault="006C1166" w:rsidP="00687E83">
            <w:pPr>
              <w:suppressAutoHyphens/>
              <w:spacing w:line="240" w:lineRule="atLeast"/>
              <w:jc w:val="center"/>
              <w:rPr>
                <w:rFonts w:cs="Arial"/>
                <w:b/>
                <w:snapToGrid w:val="0"/>
                <w:szCs w:val="22"/>
              </w:rPr>
            </w:pPr>
          </w:p>
          <w:p w:rsidR="006C1166" w:rsidRDefault="006C1166" w:rsidP="00687E83">
            <w:pPr>
              <w:suppressAutoHyphens/>
              <w:spacing w:line="240" w:lineRule="atLeast"/>
              <w:jc w:val="center"/>
              <w:rPr>
                <w:rFonts w:cs="Arial"/>
                <w:b/>
                <w:snapToGrid w:val="0"/>
                <w:szCs w:val="22"/>
              </w:rPr>
            </w:pPr>
          </w:p>
          <w:p w:rsidR="006C1166" w:rsidRPr="00DE3408" w:rsidRDefault="006C1166" w:rsidP="00687E83">
            <w:pPr>
              <w:suppressAutoHyphens/>
              <w:spacing w:line="240" w:lineRule="atLeast"/>
              <w:jc w:val="center"/>
              <w:rPr>
                <w:rFonts w:cs="Arial"/>
                <w:b/>
                <w:snapToGrid w:val="0"/>
                <w:szCs w:val="22"/>
              </w:rPr>
            </w:pPr>
          </w:p>
        </w:tc>
      </w:tr>
      <w:tr w:rsidR="006C1166" w:rsidRPr="00DE3408" w:rsidTr="00687E83">
        <w:tc>
          <w:tcPr>
            <w:tcW w:w="4644" w:type="dxa"/>
          </w:tcPr>
          <w:p w:rsidR="006C1166" w:rsidRPr="00DE3408" w:rsidRDefault="006C1166" w:rsidP="00687E83">
            <w:pPr>
              <w:suppressAutoHyphens/>
              <w:spacing w:line="240" w:lineRule="atLeast"/>
              <w:jc w:val="center"/>
              <w:rPr>
                <w:rFonts w:cs="Arial"/>
                <w:b/>
                <w:snapToGrid w:val="0"/>
                <w:szCs w:val="22"/>
              </w:rPr>
            </w:pPr>
          </w:p>
        </w:tc>
        <w:tc>
          <w:tcPr>
            <w:tcW w:w="4395" w:type="dxa"/>
          </w:tcPr>
          <w:p w:rsidR="006C1166" w:rsidRPr="00DE3408" w:rsidRDefault="006C1166" w:rsidP="00687E83">
            <w:pPr>
              <w:spacing w:line="240" w:lineRule="atLeast"/>
              <w:jc w:val="left"/>
              <w:rPr>
                <w:rFonts w:cs="Arial"/>
                <w:b/>
                <w:szCs w:val="22"/>
              </w:rPr>
            </w:pPr>
            <w:r w:rsidRPr="00DE3408">
              <w:rPr>
                <w:rFonts w:cs="Arial"/>
                <w:b/>
                <w:szCs w:val="22"/>
              </w:rPr>
              <w:t>JEFE DE ÁREA DE CONSTRUCCIÓN</w:t>
            </w:r>
          </w:p>
          <w:p w:rsidR="006C1166" w:rsidRPr="00DE3408" w:rsidRDefault="006C1166" w:rsidP="00687E83">
            <w:pPr>
              <w:spacing w:line="240" w:lineRule="atLeast"/>
              <w:jc w:val="left"/>
              <w:rPr>
                <w:rFonts w:cs="Arial"/>
                <w:b/>
                <w:szCs w:val="22"/>
              </w:rPr>
            </w:pPr>
            <w:r w:rsidRPr="00DE3408">
              <w:rPr>
                <w:rFonts w:cs="Arial"/>
                <w:b/>
                <w:szCs w:val="22"/>
              </w:rPr>
              <w:t>DE REDES DE ABASTECIMIENTO</w:t>
            </w:r>
          </w:p>
          <w:p w:rsidR="006C1166" w:rsidRPr="00DE3408" w:rsidRDefault="006C1166" w:rsidP="00687E83">
            <w:pPr>
              <w:spacing w:line="240" w:lineRule="atLeast"/>
              <w:jc w:val="left"/>
              <w:rPr>
                <w:rFonts w:cs="Arial"/>
                <w:b/>
                <w:szCs w:val="22"/>
              </w:rPr>
            </w:pPr>
          </w:p>
          <w:p w:rsidR="006C1166" w:rsidRDefault="006C1166" w:rsidP="00687E83">
            <w:pPr>
              <w:spacing w:line="240" w:lineRule="atLeast"/>
              <w:jc w:val="left"/>
              <w:rPr>
                <w:rFonts w:cs="Arial"/>
                <w:b/>
                <w:szCs w:val="22"/>
              </w:rPr>
            </w:pPr>
          </w:p>
          <w:p w:rsidR="006C1166" w:rsidRPr="00DE3408" w:rsidRDefault="006C1166" w:rsidP="00687E83">
            <w:pPr>
              <w:spacing w:line="240" w:lineRule="atLeast"/>
              <w:jc w:val="left"/>
              <w:rPr>
                <w:rFonts w:cs="Arial"/>
                <w:b/>
                <w:szCs w:val="22"/>
              </w:rPr>
            </w:pPr>
          </w:p>
          <w:p w:rsidR="006C1166" w:rsidRPr="00DE3408" w:rsidRDefault="006C1166" w:rsidP="00687E83">
            <w:pPr>
              <w:spacing w:line="240" w:lineRule="atLeast"/>
              <w:jc w:val="left"/>
              <w:rPr>
                <w:rFonts w:cs="Arial"/>
                <w:b/>
                <w:szCs w:val="22"/>
              </w:rPr>
            </w:pPr>
          </w:p>
          <w:p w:rsidR="006C1166" w:rsidRPr="00DE3408" w:rsidRDefault="006C1166" w:rsidP="00687E83">
            <w:pPr>
              <w:spacing w:line="240" w:lineRule="atLeast"/>
              <w:jc w:val="left"/>
              <w:rPr>
                <w:rFonts w:cs="Arial"/>
                <w:b/>
                <w:szCs w:val="22"/>
              </w:rPr>
            </w:pPr>
          </w:p>
          <w:p w:rsidR="006C1166" w:rsidRPr="00DE3408" w:rsidRDefault="006C1166" w:rsidP="00687E83">
            <w:pPr>
              <w:spacing w:line="240" w:lineRule="atLeast"/>
              <w:jc w:val="left"/>
              <w:rPr>
                <w:rFonts w:cs="Arial"/>
                <w:b/>
                <w:snapToGrid w:val="0"/>
                <w:szCs w:val="22"/>
              </w:rPr>
            </w:pPr>
            <w:r w:rsidRPr="00DE3408">
              <w:rPr>
                <w:rFonts w:cs="Arial"/>
                <w:b/>
                <w:szCs w:val="22"/>
              </w:rPr>
              <w:t>FDO: Ricardo Moreno Huerta</w:t>
            </w:r>
          </w:p>
        </w:tc>
      </w:tr>
    </w:tbl>
    <w:p w:rsidR="006C1166" w:rsidRDefault="006C1166" w:rsidP="00687E83">
      <w:pPr>
        <w:spacing w:before="120" w:after="240" w:line="276" w:lineRule="auto"/>
        <w:ind w:right="-285"/>
        <w:rPr>
          <w:i/>
        </w:rPr>
      </w:pPr>
    </w:p>
    <w:sectPr w:rsidR="006C1166" w:rsidSect="006C1166">
      <w:type w:val="oddPage"/>
      <w:pgSz w:w="11906" w:h="16838" w:code="9"/>
      <w:pgMar w:top="1417" w:right="1701" w:bottom="1417" w:left="1701"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0E5" w:rsidRDefault="00DF30E5" w:rsidP="00CD0B93">
      <w:r>
        <w:separator/>
      </w:r>
    </w:p>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p w:rsidR="00DF30E5" w:rsidRDefault="00DF30E5"/>
    <w:p w:rsidR="00DF30E5" w:rsidRDefault="00DF30E5" w:rsidP="00261EB9"/>
    <w:p w:rsidR="00DF30E5" w:rsidRDefault="00DF30E5"/>
    <w:p w:rsidR="00DF30E5" w:rsidRDefault="00DF30E5" w:rsidP="004D398D"/>
    <w:p w:rsidR="00DF30E5" w:rsidRDefault="00DF30E5" w:rsidP="004D398D"/>
  </w:endnote>
  <w:endnote w:type="continuationSeparator" w:id="0">
    <w:p w:rsidR="00DF30E5" w:rsidRDefault="00DF30E5" w:rsidP="00CD0B93">
      <w:r>
        <w:continuationSeparator/>
      </w:r>
    </w:p>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p w:rsidR="00DF30E5" w:rsidRDefault="00DF30E5"/>
    <w:p w:rsidR="00DF30E5" w:rsidRDefault="00DF30E5" w:rsidP="00261EB9"/>
    <w:p w:rsidR="00DF30E5" w:rsidRDefault="00DF30E5"/>
    <w:p w:rsidR="00DF30E5" w:rsidRDefault="00DF30E5" w:rsidP="004D398D"/>
    <w:p w:rsidR="00DF30E5" w:rsidRDefault="00DF30E5" w:rsidP="004D3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egrit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rutiger-Ligh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03000000" w:usb1="00000000" w:usb2="00000000" w:usb3="00000000" w:csb0="00000001" w:csb1="00000000"/>
  </w:font>
  <w:font w:name="Futura-Book">
    <w:altName w:val="Futura"/>
    <w:panose1 w:val="00000000000000000000"/>
    <w:charset w:val="00"/>
    <w:family w:val="swiss"/>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00"/>
    <w:family w:val="swiss"/>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0E5" w:rsidRPr="00D8477A" w:rsidRDefault="00DF30E5" w:rsidP="007F587A">
    <w:pPr>
      <w:pStyle w:val="Piedepgina"/>
      <w:pBdr>
        <w:top w:val="single" w:sz="8" w:space="1" w:color="0084CD"/>
      </w:pBdr>
      <w:tabs>
        <w:tab w:val="clear" w:pos="4252"/>
        <w:tab w:val="clear" w:pos="8504"/>
        <w:tab w:val="right" w:pos="8460"/>
      </w:tabs>
      <w:rPr>
        <w:i/>
        <w:sz w:val="14"/>
        <w:szCs w:val="14"/>
      </w:rPr>
    </w:pPr>
    <w:r w:rsidRPr="0055477E">
      <w:rPr>
        <w:rFonts w:cs="Arial"/>
        <w:bCs/>
        <w:i/>
        <w:iCs/>
        <w:color w:val="333333"/>
        <w:sz w:val="14"/>
        <w:szCs w:val="14"/>
      </w:rPr>
      <w:t>DOCUMENTO Nº 3. PLIEGO DE PRESCRIPCIONES TÉCNICAS</w:t>
    </w:r>
    <w:r w:rsidRPr="00D8477A">
      <w:rPr>
        <w:rFonts w:cs="Arial"/>
        <w:bCs/>
        <w:i/>
        <w:iCs/>
        <w:color w:val="333333"/>
        <w:sz w:val="14"/>
        <w:szCs w:val="14"/>
      </w:rPr>
      <w:tab/>
    </w:r>
    <w:r w:rsidRPr="00D8477A">
      <w:rPr>
        <w:rStyle w:val="Nmerodepgina"/>
        <w:i/>
        <w:sz w:val="14"/>
        <w:szCs w:val="14"/>
      </w:rPr>
      <w:fldChar w:fldCharType="begin"/>
    </w:r>
    <w:r w:rsidRPr="00D8477A">
      <w:rPr>
        <w:rStyle w:val="Nmerodepgina"/>
        <w:i/>
        <w:sz w:val="14"/>
        <w:szCs w:val="14"/>
      </w:rPr>
      <w:instrText xml:space="preserve"> PAGE </w:instrText>
    </w:r>
    <w:r w:rsidRPr="00D8477A">
      <w:rPr>
        <w:rStyle w:val="Nmerodepgina"/>
        <w:i/>
        <w:sz w:val="14"/>
        <w:szCs w:val="14"/>
      </w:rPr>
      <w:fldChar w:fldCharType="separate"/>
    </w:r>
    <w:r>
      <w:rPr>
        <w:rStyle w:val="Nmerodepgina"/>
        <w:i/>
        <w:noProof/>
        <w:sz w:val="14"/>
        <w:szCs w:val="14"/>
      </w:rPr>
      <w:t>2</w:t>
    </w:r>
    <w:r w:rsidRPr="00D8477A">
      <w:rPr>
        <w:rStyle w:val="Nmerodepgina"/>
        <w:i/>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F9B" w:rsidRDefault="00517F9B" w:rsidP="00517F9B">
    <w:pPr>
      <w:pBdr>
        <w:top w:val="single" w:sz="8" w:space="13" w:color="0084CD"/>
      </w:pBdr>
      <w:tabs>
        <w:tab w:val="right" w:pos="8460"/>
      </w:tabs>
      <w:jc w:val="right"/>
      <w:rPr>
        <w:rFonts w:cs="Arial"/>
        <w:bCs/>
        <w:iCs/>
        <w:color w:val="333333"/>
        <w:sz w:val="14"/>
        <w:szCs w:val="14"/>
      </w:rPr>
    </w:pPr>
    <w:r>
      <w:rPr>
        <w:rFonts w:cs="Arial"/>
        <w:bCs/>
        <w:iCs/>
        <w:noProof/>
        <w:color w:val="333333"/>
        <w:sz w:val="14"/>
        <w:szCs w:val="14"/>
      </w:rPr>
      <w:drawing>
        <wp:anchor distT="0" distB="0" distL="114300" distR="114300" simplePos="0" relativeHeight="251658240" behindDoc="0" locked="0" layoutInCell="1" allowOverlap="1" wp14:anchorId="7B488CC4" wp14:editId="294D3C3B">
          <wp:simplePos x="0" y="0"/>
          <wp:positionH relativeFrom="column">
            <wp:posOffset>-70485</wp:posOffset>
          </wp:positionH>
          <wp:positionV relativeFrom="paragraph">
            <wp:posOffset>269240</wp:posOffset>
          </wp:positionV>
          <wp:extent cx="971550" cy="2286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228600"/>
                  </a:xfrm>
                  <a:prstGeom prst="rect">
                    <a:avLst/>
                  </a:prstGeom>
                  <a:noFill/>
                </pic:spPr>
              </pic:pic>
            </a:graphicData>
          </a:graphic>
          <wp14:sizeRelH relativeFrom="page">
            <wp14:pctWidth>0</wp14:pctWidth>
          </wp14:sizeRelH>
          <wp14:sizeRelV relativeFrom="page">
            <wp14:pctHeight>0</wp14:pctHeight>
          </wp14:sizeRelV>
        </wp:anchor>
      </w:drawing>
    </w:r>
  </w:p>
  <w:p w:rsidR="00DF30E5" w:rsidRPr="0008308C" w:rsidRDefault="00DF30E5" w:rsidP="00517F9B">
    <w:pPr>
      <w:pBdr>
        <w:top w:val="single" w:sz="8" w:space="13" w:color="0084CD"/>
      </w:pBdr>
      <w:tabs>
        <w:tab w:val="right" w:pos="8460"/>
      </w:tabs>
      <w:jc w:val="right"/>
      <w:rPr>
        <w:sz w:val="14"/>
        <w:szCs w:val="14"/>
      </w:rPr>
    </w:pPr>
    <w:r w:rsidRPr="0008308C">
      <w:rPr>
        <w:rFonts w:cs="Arial"/>
        <w:bCs/>
        <w:iCs/>
        <w:color w:val="333333"/>
        <w:sz w:val="14"/>
        <w:szCs w:val="14"/>
      </w:rPr>
      <w:t xml:space="preserve">DOCUMENTO Nº 3. PLIEGO DE PRESCRIPCIONES TÉCNICAS    </w:t>
    </w:r>
    <w:r w:rsidRPr="0008308C">
      <w:rPr>
        <w:rStyle w:val="Nmerodepgina"/>
        <w:sz w:val="14"/>
        <w:szCs w:val="14"/>
      </w:rPr>
      <w:fldChar w:fldCharType="begin"/>
    </w:r>
    <w:r w:rsidRPr="0008308C">
      <w:rPr>
        <w:rStyle w:val="Nmerodepgina"/>
        <w:sz w:val="14"/>
        <w:szCs w:val="14"/>
      </w:rPr>
      <w:instrText xml:space="preserve"> PAGE </w:instrText>
    </w:r>
    <w:r w:rsidRPr="0008308C">
      <w:rPr>
        <w:rStyle w:val="Nmerodepgina"/>
        <w:sz w:val="14"/>
        <w:szCs w:val="14"/>
      </w:rPr>
      <w:fldChar w:fldCharType="separate"/>
    </w:r>
    <w:r w:rsidR="004A6A0E">
      <w:rPr>
        <w:rStyle w:val="Nmerodepgina"/>
        <w:noProof/>
        <w:sz w:val="14"/>
        <w:szCs w:val="14"/>
      </w:rPr>
      <w:t>311</w:t>
    </w:r>
    <w:r w:rsidRPr="0008308C">
      <w:rPr>
        <w:rStyle w:val="Nmerodepgina"/>
        <w:sz w:val="14"/>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0E5" w:rsidRPr="0008308C" w:rsidRDefault="00517F9B" w:rsidP="0008308C">
    <w:pPr>
      <w:pStyle w:val="Piedepgina"/>
      <w:pBdr>
        <w:top w:val="single" w:sz="8" w:space="1" w:color="0084CD"/>
      </w:pBdr>
      <w:tabs>
        <w:tab w:val="clear" w:pos="4252"/>
        <w:tab w:val="clear" w:pos="8504"/>
        <w:tab w:val="left" w:pos="8460"/>
      </w:tabs>
      <w:ind w:right="43"/>
      <w:jc w:val="right"/>
      <w:rPr>
        <w:sz w:val="14"/>
        <w:szCs w:val="14"/>
      </w:rPr>
    </w:pPr>
    <w:r>
      <w:rPr>
        <w:rFonts w:cs="Arial"/>
        <w:bCs/>
        <w:iCs/>
        <w:noProof/>
        <w:color w:val="333333"/>
        <w:sz w:val="14"/>
        <w:szCs w:val="14"/>
      </w:rPr>
      <w:drawing>
        <wp:anchor distT="0" distB="0" distL="114300" distR="114300" simplePos="0" relativeHeight="251659264" behindDoc="0" locked="0" layoutInCell="1" allowOverlap="1">
          <wp:simplePos x="0" y="0"/>
          <wp:positionH relativeFrom="column">
            <wp:posOffset>-3810</wp:posOffset>
          </wp:positionH>
          <wp:positionV relativeFrom="paragraph">
            <wp:posOffset>55245</wp:posOffset>
          </wp:positionV>
          <wp:extent cx="969645" cy="22542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9645" cy="225425"/>
                  </a:xfrm>
                  <a:prstGeom prst="rect">
                    <a:avLst/>
                  </a:prstGeom>
                  <a:noFill/>
                </pic:spPr>
              </pic:pic>
            </a:graphicData>
          </a:graphic>
          <wp14:sizeRelH relativeFrom="page">
            <wp14:pctWidth>0</wp14:pctWidth>
          </wp14:sizeRelH>
          <wp14:sizeRelV relativeFrom="page">
            <wp14:pctHeight>0</wp14:pctHeight>
          </wp14:sizeRelV>
        </wp:anchor>
      </w:drawing>
    </w:r>
    <w:r w:rsidR="00DF30E5" w:rsidRPr="0008308C">
      <w:rPr>
        <w:rFonts w:cs="Arial"/>
        <w:bCs/>
        <w:iCs/>
        <w:color w:val="333333"/>
        <w:sz w:val="14"/>
        <w:szCs w:val="14"/>
      </w:rPr>
      <w:t>DOCUMENTO Nº 3. PLIEGO DE PRESCRIPCIONES TÉCNICAS</w:t>
    </w:r>
    <w:r w:rsidR="00DF30E5">
      <w:rPr>
        <w:rFonts w:cs="Arial"/>
        <w:bCs/>
        <w:iCs/>
        <w:color w:val="333333"/>
        <w:sz w:val="14"/>
        <w:szCs w:val="14"/>
      </w:rPr>
      <w:t xml:space="preserve">    </w:t>
    </w:r>
    <w:r w:rsidR="00DF30E5" w:rsidRPr="0008308C">
      <w:rPr>
        <w:rStyle w:val="Nmerodepgina"/>
        <w:sz w:val="16"/>
        <w:szCs w:val="16"/>
      </w:rPr>
      <w:fldChar w:fldCharType="begin"/>
    </w:r>
    <w:r w:rsidR="00DF30E5" w:rsidRPr="0008308C">
      <w:rPr>
        <w:rStyle w:val="Nmerodepgina"/>
        <w:sz w:val="16"/>
        <w:szCs w:val="16"/>
      </w:rPr>
      <w:instrText xml:space="preserve"> PAGE </w:instrText>
    </w:r>
    <w:r w:rsidR="00DF30E5" w:rsidRPr="0008308C">
      <w:rPr>
        <w:rStyle w:val="Nmerodepgina"/>
        <w:sz w:val="16"/>
        <w:szCs w:val="16"/>
      </w:rPr>
      <w:fldChar w:fldCharType="separate"/>
    </w:r>
    <w:r w:rsidR="004A6A0E">
      <w:rPr>
        <w:rStyle w:val="Nmerodepgina"/>
        <w:noProof/>
        <w:sz w:val="16"/>
        <w:szCs w:val="16"/>
      </w:rPr>
      <w:t>8</w:t>
    </w:r>
    <w:r w:rsidR="00DF30E5" w:rsidRPr="0008308C">
      <w:rPr>
        <w:rStyle w:val="Nmerodepgina"/>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0E5" w:rsidRPr="006C1166" w:rsidRDefault="00517F9B" w:rsidP="006C1166">
    <w:pPr>
      <w:pStyle w:val="Piedepgina"/>
      <w:pBdr>
        <w:top w:val="single" w:sz="8" w:space="1" w:color="0084CD"/>
      </w:pBdr>
      <w:tabs>
        <w:tab w:val="clear" w:pos="4252"/>
        <w:tab w:val="clear" w:pos="8504"/>
        <w:tab w:val="left" w:pos="8460"/>
      </w:tabs>
      <w:ind w:right="43"/>
      <w:jc w:val="right"/>
      <w:rPr>
        <w:sz w:val="14"/>
        <w:szCs w:val="14"/>
      </w:rPr>
    </w:pPr>
    <w:r>
      <w:rPr>
        <w:rFonts w:cs="Arial"/>
        <w:bCs/>
        <w:iCs/>
        <w:noProof/>
        <w:color w:val="333333"/>
        <w:sz w:val="14"/>
        <w:szCs w:val="14"/>
      </w:rPr>
      <w:drawing>
        <wp:anchor distT="0" distB="0" distL="114300" distR="114300" simplePos="0" relativeHeight="251660288" behindDoc="0" locked="0" layoutInCell="1" allowOverlap="1">
          <wp:simplePos x="0" y="0"/>
          <wp:positionH relativeFrom="column">
            <wp:posOffset>-3810</wp:posOffset>
          </wp:positionH>
          <wp:positionV relativeFrom="paragraph">
            <wp:posOffset>47625</wp:posOffset>
          </wp:positionV>
          <wp:extent cx="969645" cy="22542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9645" cy="225425"/>
                  </a:xfrm>
                  <a:prstGeom prst="rect">
                    <a:avLst/>
                  </a:prstGeom>
                  <a:noFill/>
                </pic:spPr>
              </pic:pic>
            </a:graphicData>
          </a:graphic>
          <wp14:sizeRelH relativeFrom="page">
            <wp14:pctWidth>0</wp14:pctWidth>
          </wp14:sizeRelH>
          <wp14:sizeRelV relativeFrom="page">
            <wp14:pctHeight>0</wp14:pctHeight>
          </wp14:sizeRelV>
        </wp:anchor>
      </w:drawing>
    </w:r>
    <w:r w:rsidR="00DF30E5" w:rsidRPr="006C1166">
      <w:rPr>
        <w:rFonts w:cs="Arial"/>
        <w:bCs/>
        <w:iCs/>
        <w:color w:val="333333"/>
        <w:sz w:val="14"/>
        <w:szCs w:val="14"/>
      </w:rPr>
      <w:t xml:space="preserve">DOCUMENTO Nº 3. PLIEGO DE PRESCRIPCIONES TÉCNICAS    </w:t>
    </w:r>
    <w:r w:rsidR="00DF30E5" w:rsidRPr="006C1166">
      <w:rPr>
        <w:rStyle w:val="Nmerodepgina"/>
        <w:sz w:val="16"/>
        <w:szCs w:val="16"/>
      </w:rPr>
      <w:fldChar w:fldCharType="begin"/>
    </w:r>
    <w:r w:rsidR="00DF30E5" w:rsidRPr="006C1166">
      <w:rPr>
        <w:rStyle w:val="Nmerodepgina"/>
        <w:sz w:val="16"/>
        <w:szCs w:val="16"/>
      </w:rPr>
      <w:instrText xml:space="preserve"> PAGE </w:instrText>
    </w:r>
    <w:r w:rsidR="00DF30E5" w:rsidRPr="006C1166">
      <w:rPr>
        <w:rStyle w:val="Nmerodepgina"/>
        <w:sz w:val="16"/>
        <w:szCs w:val="16"/>
      </w:rPr>
      <w:fldChar w:fldCharType="separate"/>
    </w:r>
    <w:r w:rsidR="004A6A0E">
      <w:rPr>
        <w:rStyle w:val="Nmerodepgina"/>
        <w:noProof/>
        <w:sz w:val="16"/>
        <w:szCs w:val="16"/>
      </w:rPr>
      <w:t>310</w:t>
    </w:r>
    <w:r w:rsidR="00DF30E5" w:rsidRPr="006C1166">
      <w:rPr>
        <w:rStyle w:val="Nmerodepgina"/>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0E5" w:rsidRPr="003917B3" w:rsidRDefault="00DF30E5" w:rsidP="006C1166">
    <w:pPr>
      <w:pStyle w:val="Piedepgina"/>
      <w:pBdr>
        <w:top w:val="single" w:sz="8" w:space="1" w:color="0084CD"/>
      </w:pBdr>
      <w:tabs>
        <w:tab w:val="clear" w:pos="4252"/>
        <w:tab w:val="clear" w:pos="8504"/>
        <w:tab w:val="left" w:pos="8460"/>
      </w:tabs>
      <w:ind w:right="43"/>
      <w:jc w:val="right"/>
      <w:rPr>
        <w:i/>
        <w:sz w:val="14"/>
        <w:szCs w:val="14"/>
      </w:rPr>
    </w:pPr>
    <w:r>
      <w:rPr>
        <w:rFonts w:cs="Arial"/>
        <w:bCs/>
        <w:i/>
        <w:iCs/>
        <w:color w:val="333333"/>
        <w:sz w:val="14"/>
        <w:szCs w:val="14"/>
      </w:rPr>
      <w:t xml:space="preserve">DOCUMENTO Nº 3. PLIEGO DE PRESCRIPCIONES TÉCNICAS    </w:t>
    </w:r>
    <w:r w:rsidRPr="003F14FF">
      <w:rPr>
        <w:rStyle w:val="Nmerodepgina"/>
        <w:i/>
        <w:sz w:val="16"/>
        <w:szCs w:val="16"/>
      </w:rPr>
      <w:fldChar w:fldCharType="begin"/>
    </w:r>
    <w:r w:rsidRPr="003F14FF">
      <w:rPr>
        <w:rStyle w:val="Nmerodepgina"/>
        <w:i/>
        <w:sz w:val="16"/>
        <w:szCs w:val="16"/>
      </w:rPr>
      <w:instrText xml:space="preserve"> PAGE </w:instrText>
    </w:r>
    <w:r w:rsidRPr="003F14FF">
      <w:rPr>
        <w:rStyle w:val="Nmerodepgina"/>
        <w:i/>
        <w:sz w:val="16"/>
        <w:szCs w:val="16"/>
      </w:rPr>
      <w:fldChar w:fldCharType="separate"/>
    </w:r>
    <w:r w:rsidR="004A6A0E">
      <w:rPr>
        <w:rStyle w:val="Nmerodepgina"/>
        <w:i/>
        <w:noProof/>
        <w:sz w:val="16"/>
        <w:szCs w:val="16"/>
      </w:rPr>
      <w:t>314</w:t>
    </w:r>
    <w:r w:rsidRPr="003F14FF">
      <w:rPr>
        <w:rStyle w:val="Nmerodepgin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0E5" w:rsidRDefault="00DF30E5" w:rsidP="00CD0B93">
      <w:r>
        <w:separator/>
      </w:r>
    </w:p>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p w:rsidR="00DF30E5" w:rsidRDefault="00DF30E5"/>
    <w:p w:rsidR="00DF30E5" w:rsidRDefault="00DF30E5" w:rsidP="00261EB9"/>
    <w:p w:rsidR="00DF30E5" w:rsidRDefault="00DF30E5"/>
    <w:p w:rsidR="00DF30E5" w:rsidRDefault="00DF30E5" w:rsidP="004D398D"/>
    <w:p w:rsidR="00DF30E5" w:rsidRDefault="00DF30E5" w:rsidP="004D398D"/>
  </w:footnote>
  <w:footnote w:type="continuationSeparator" w:id="0">
    <w:p w:rsidR="00DF30E5" w:rsidRDefault="00DF30E5" w:rsidP="00CD0B93">
      <w:r>
        <w:continuationSeparator/>
      </w:r>
    </w:p>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rsidP="00CD0B93"/>
    <w:p w:rsidR="00DF30E5" w:rsidRDefault="00DF30E5"/>
    <w:p w:rsidR="00DF30E5" w:rsidRDefault="00DF30E5"/>
    <w:p w:rsidR="00DF30E5" w:rsidRDefault="00DF30E5" w:rsidP="00261EB9"/>
    <w:p w:rsidR="00DF30E5" w:rsidRDefault="00DF30E5"/>
    <w:p w:rsidR="00DF30E5" w:rsidRDefault="00DF30E5" w:rsidP="004D398D"/>
    <w:p w:rsidR="00DF30E5" w:rsidRDefault="00DF30E5" w:rsidP="004D39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9" w:type="dxa"/>
      <w:tblBorders>
        <w:bottom w:val="single" w:sz="8" w:space="0" w:color="0084CD"/>
      </w:tblBorders>
      <w:tblLayout w:type="fixed"/>
      <w:tblLook w:val="01E0" w:firstRow="1" w:lastRow="1" w:firstColumn="1" w:lastColumn="1" w:noHBand="0" w:noVBand="0"/>
    </w:tblPr>
    <w:tblGrid>
      <w:gridCol w:w="2137"/>
      <w:gridCol w:w="6902"/>
    </w:tblGrid>
    <w:tr w:rsidR="00DF30E5" w:rsidRPr="00592AE8" w:rsidTr="007F587A">
      <w:trPr>
        <w:trHeight w:val="661"/>
      </w:trPr>
      <w:tc>
        <w:tcPr>
          <w:tcW w:w="2137" w:type="dxa"/>
          <w:tcBorders>
            <w:bottom w:val="single" w:sz="8" w:space="0" w:color="0084CD"/>
          </w:tcBorders>
          <w:vAlign w:val="bottom"/>
        </w:tcPr>
        <w:p w:rsidR="00DF30E5" w:rsidRPr="008A2CC6" w:rsidRDefault="00DF30E5" w:rsidP="007F587A">
          <w:pPr>
            <w:pStyle w:val="Encabezado"/>
            <w:jc w:val="left"/>
            <w:rPr>
              <w:szCs w:val="16"/>
            </w:rPr>
          </w:pPr>
          <w:r>
            <w:rPr>
              <w:rFonts w:cs="Arial"/>
              <w:bCs/>
              <w:iCs/>
              <w:noProof/>
              <w:color w:val="333333"/>
            </w:rPr>
            <w:drawing>
              <wp:inline distT="0" distB="0" distL="0" distR="0" wp14:anchorId="4C45F878" wp14:editId="3359F5C0">
                <wp:extent cx="1209675" cy="514350"/>
                <wp:effectExtent l="0" t="0" r="952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514350"/>
                        </a:xfrm>
                        <a:prstGeom prst="rect">
                          <a:avLst/>
                        </a:prstGeom>
                        <a:noFill/>
                        <a:ln>
                          <a:noFill/>
                        </a:ln>
                      </pic:spPr>
                    </pic:pic>
                  </a:graphicData>
                </a:graphic>
              </wp:inline>
            </w:drawing>
          </w:r>
        </w:p>
      </w:tc>
      <w:tc>
        <w:tcPr>
          <w:tcW w:w="6902" w:type="dxa"/>
          <w:tcBorders>
            <w:bottom w:val="single" w:sz="8" w:space="0" w:color="0084CD"/>
          </w:tcBorders>
          <w:vAlign w:val="bottom"/>
        </w:tcPr>
        <w:p w:rsidR="004A6A0E" w:rsidRPr="004A6A0E" w:rsidRDefault="004A6A0E" w:rsidP="004A6A0E">
          <w:pPr>
            <w:widowControl/>
            <w:tabs>
              <w:tab w:val="right" w:pos="8504"/>
            </w:tabs>
            <w:autoSpaceDE/>
            <w:autoSpaceDN/>
            <w:adjustRightInd/>
            <w:spacing w:line="240" w:lineRule="auto"/>
            <w:ind w:left="-495" w:right="-70" w:firstLine="141"/>
            <w:jc w:val="right"/>
            <w:rPr>
              <w:rFonts w:cs="Arial"/>
              <w:sz w:val="16"/>
              <w:szCs w:val="16"/>
            </w:rPr>
          </w:pPr>
          <w:r w:rsidRPr="004A6A0E">
            <w:rPr>
              <w:rFonts w:cs="Arial"/>
              <w:sz w:val="16"/>
              <w:szCs w:val="16"/>
            </w:rPr>
            <w:t>CR-027-16-CS PROYECTO DE RENOVACIÓN DE</w:t>
          </w:r>
        </w:p>
        <w:p w:rsidR="004A6A0E" w:rsidRPr="004A6A0E" w:rsidRDefault="004A6A0E" w:rsidP="004A6A0E">
          <w:pPr>
            <w:widowControl/>
            <w:tabs>
              <w:tab w:val="right" w:pos="8504"/>
            </w:tabs>
            <w:autoSpaceDE/>
            <w:autoSpaceDN/>
            <w:adjustRightInd/>
            <w:spacing w:line="240" w:lineRule="auto"/>
            <w:ind w:left="-495" w:right="-70" w:firstLine="141"/>
            <w:jc w:val="right"/>
            <w:rPr>
              <w:rFonts w:cs="Arial"/>
              <w:sz w:val="16"/>
              <w:szCs w:val="16"/>
            </w:rPr>
          </w:pPr>
          <w:r w:rsidRPr="004A6A0E">
            <w:rPr>
              <w:rFonts w:cs="Arial"/>
              <w:sz w:val="16"/>
              <w:szCs w:val="16"/>
            </w:rPr>
            <w:t xml:space="preserve"> RED EN LA CALLE  GUADALAJARA Y OTRAS</w:t>
          </w:r>
        </w:p>
        <w:p w:rsidR="004A6A0E" w:rsidRPr="004A6A0E" w:rsidRDefault="004A6A0E" w:rsidP="004A6A0E">
          <w:pPr>
            <w:widowControl/>
            <w:tabs>
              <w:tab w:val="right" w:pos="8504"/>
            </w:tabs>
            <w:autoSpaceDE/>
            <w:autoSpaceDN/>
            <w:adjustRightInd/>
            <w:spacing w:line="240" w:lineRule="auto"/>
            <w:ind w:left="-495" w:right="-70" w:firstLine="141"/>
            <w:jc w:val="right"/>
            <w:rPr>
              <w:rFonts w:cs="Arial"/>
              <w:sz w:val="16"/>
              <w:szCs w:val="16"/>
            </w:rPr>
          </w:pPr>
          <w:r w:rsidRPr="004A6A0E">
            <w:rPr>
              <w:rFonts w:cs="Arial"/>
              <w:sz w:val="16"/>
              <w:szCs w:val="16"/>
            </w:rPr>
            <w:t xml:space="preserve">  EN EL T. M. DE VILLAREJO DE SALVANÉS</w:t>
          </w:r>
        </w:p>
        <w:p w:rsidR="00DF30E5" w:rsidRPr="002B340F" w:rsidRDefault="00DF30E5" w:rsidP="00517F9B">
          <w:pPr>
            <w:pStyle w:val="Encabezado"/>
            <w:tabs>
              <w:tab w:val="clear" w:pos="4252"/>
            </w:tabs>
            <w:ind w:left="-495" w:right="-70" w:firstLine="141"/>
            <w:rPr>
              <w:rFonts w:cs="Arial"/>
              <w:sz w:val="16"/>
              <w:szCs w:val="16"/>
            </w:rPr>
          </w:pPr>
        </w:p>
      </w:tc>
    </w:tr>
  </w:tbl>
  <w:p w:rsidR="00DF30E5" w:rsidRPr="005A300E" w:rsidRDefault="00DF30E5" w:rsidP="007F587A">
    <w:pPr>
      <w:tabs>
        <w:tab w:val="right" w:pos="8505"/>
      </w:tabs>
      <w:spacing w:line="240" w:lineRule="auto"/>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9" w:type="dxa"/>
      <w:tblBorders>
        <w:bottom w:val="single" w:sz="8" w:space="0" w:color="0084CD"/>
      </w:tblBorders>
      <w:tblLayout w:type="fixed"/>
      <w:tblLook w:val="01E0" w:firstRow="1" w:lastRow="1" w:firstColumn="1" w:lastColumn="1" w:noHBand="0" w:noVBand="0"/>
    </w:tblPr>
    <w:tblGrid>
      <w:gridCol w:w="2137"/>
      <w:gridCol w:w="6902"/>
    </w:tblGrid>
    <w:tr w:rsidR="00DF30E5" w:rsidRPr="00094D4E" w:rsidTr="007F587A">
      <w:trPr>
        <w:trHeight w:val="661"/>
      </w:trPr>
      <w:tc>
        <w:tcPr>
          <w:tcW w:w="2137" w:type="dxa"/>
          <w:tcBorders>
            <w:bottom w:val="single" w:sz="8" w:space="0" w:color="0084CD"/>
          </w:tcBorders>
          <w:vAlign w:val="bottom"/>
        </w:tcPr>
        <w:p w:rsidR="00DF30E5" w:rsidRPr="008A2CC6" w:rsidRDefault="00DF30E5" w:rsidP="007F587A">
          <w:pPr>
            <w:pStyle w:val="Encabezado"/>
            <w:jc w:val="left"/>
            <w:rPr>
              <w:szCs w:val="16"/>
            </w:rPr>
          </w:pPr>
          <w:r>
            <w:rPr>
              <w:rFonts w:cs="Arial"/>
              <w:bCs/>
              <w:iCs/>
              <w:noProof/>
              <w:color w:val="333333"/>
            </w:rPr>
            <w:drawing>
              <wp:inline distT="0" distB="0" distL="0" distR="0" wp14:anchorId="343FC1C4" wp14:editId="0CF93FF1">
                <wp:extent cx="1209675" cy="514350"/>
                <wp:effectExtent l="0" t="0" r="952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514350"/>
                        </a:xfrm>
                        <a:prstGeom prst="rect">
                          <a:avLst/>
                        </a:prstGeom>
                        <a:noFill/>
                        <a:ln>
                          <a:noFill/>
                        </a:ln>
                      </pic:spPr>
                    </pic:pic>
                  </a:graphicData>
                </a:graphic>
              </wp:inline>
            </w:drawing>
          </w:r>
        </w:p>
      </w:tc>
      <w:tc>
        <w:tcPr>
          <w:tcW w:w="6902" w:type="dxa"/>
          <w:tcBorders>
            <w:bottom w:val="single" w:sz="8" w:space="0" w:color="0084CD"/>
          </w:tcBorders>
          <w:vAlign w:val="bottom"/>
        </w:tcPr>
        <w:p w:rsidR="004A6A0E" w:rsidRPr="004A6A0E" w:rsidRDefault="004A6A0E" w:rsidP="004A6A0E">
          <w:pPr>
            <w:widowControl/>
            <w:tabs>
              <w:tab w:val="right" w:pos="8504"/>
            </w:tabs>
            <w:autoSpaceDE/>
            <w:autoSpaceDN/>
            <w:adjustRightInd/>
            <w:spacing w:line="240" w:lineRule="auto"/>
            <w:ind w:left="-495" w:right="-70" w:firstLine="141"/>
            <w:jc w:val="right"/>
            <w:rPr>
              <w:rFonts w:cs="Arial"/>
              <w:sz w:val="16"/>
              <w:szCs w:val="16"/>
            </w:rPr>
          </w:pPr>
          <w:r w:rsidRPr="004A6A0E">
            <w:rPr>
              <w:rFonts w:cs="Arial"/>
              <w:sz w:val="16"/>
              <w:szCs w:val="16"/>
            </w:rPr>
            <w:t>CR-027-16-CS PROYECTO DE RENOVACIÓN DE</w:t>
          </w:r>
        </w:p>
        <w:p w:rsidR="004A6A0E" w:rsidRPr="004A6A0E" w:rsidRDefault="004A6A0E" w:rsidP="004A6A0E">
          <w:pPr>
            <w:widowControl/>
            <w:tabs>
              <w:tab w:val="right" w:pos="8504"/>
            </w:tabs>
            <w:autoSpaceDE/>
            <w:autoSpaceDN/>
            <w:adjustRightInd/>
            <w:spacing w:line="240" w:lineRule="auto"/>
            <w:ind w:left="-495" w:right="-70" w:firstLine="141"/>
            <w:jc w:val="right"/>
            <w:rPr>
              <w:rFonts w:cs="Arial"/>
              <w:sz w:val="16"/>
              <w:szCs w:val="16"/>
            </w:rPr>
          </w:pPr>
          <w:r w:rsidRPr="004A6A0E">
            <w:rPr>
              <w:rFonts w:cs="Arial"/>
              <w:sz w:val="16"/>
              <w:szCs w:val="16"/>
            </w:rPr>
            <w:t xml:space="preserve"> RED EN LA CALLE  GUADALAJARA Y OTRAS</w:t>
          </w:r>
        </w:p>
        <w:p w:rsidR="004A6A0E" w:rsidRPr="004A6A0E" w:rsidRDefault="004A6A0E" w:rsidP="004A6A0E">
          <w:pPr>
            <w:widowControl/>
            <w:tabs>
              <w:tab w:val="right" w:pos="8504"/>
            </w:tabs>
            <w:autoSpaceDE/>
            <w:autoSpaceDN/>
            <w:adjustRightInd/>
            <w:spacing w:line="240" w:lineRule="auto"/>
            <w:ind w:left="-495" w:right="-70" w:firstLine="141"/>
            <w:jc w:val="right"/>
            <w:rPr>
              <w:rFonts w:cs="Arial"/>
              <w:sz w:val="16"/>
              <w:szCs w:val="16"/>
            </w:rPr>
          </w:pPr>
          <w:r w:rsidRPr="004A6A0E">
            <w:rPr>
              <w:rFonts w:cs="Arial"/>
              <w:sz w:val="16"/>
              <w:szCs w:val="16"/>
            </w:rPr>
            <w:t xml:space="preserve">  EN EL T. M. DE VILLAREJO DE SALVANÉS</w:t>
          </w:r>
        </w:p>
        <w:p w:rsidR="00DF30E5" w:rsidRPr="00094D4E" w:rsidRDefault="00DF30E5" w:rsidP="002B340F">
          <w:pPr>
            <w:pStyle w:val="Encabezado"/>
            <w:jc w:val="right"/>
            <w:rPr>
              <w:sz w:val="16"/>
              <w:szCs w:val="16"/>
            </w:rPr>
          </w:pPr>
        </w:p>
      </w:tc>
    </w:tr>
  </w:tbl>
  <w:p w:rsidR="00DF30E5" w:rsidRPr="00464A5D" w:rsidRDefault="00DF30E5" w:rsidP="007F587A">
    <w:pPr>
      <w:tabs>
        <w:tab w:val="right" w:pos="8505"/>
      </w:tabs>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45A78"/>
    <w:multiLevelType w:val="hybridMultilevel"/>
    <w:tmpl w:val="E1981C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0969399C"/>
    <w:multiLevelType w:val="hybridMultilevel"/>
    <w:tmpl w:val="12D6184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nsid w:val="10ED0C17"/>
    <w:multiLevelType w:val="multilevel"/>
    <w:tmpl w:val="9BF21800"/>
    <w:name w:val="c¸Fxy¸FxÀ·€&gt;"/>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11786E19"/>
    <w:multiLevelType w:val="hybridMultilevel"/>
    <w:tmpl w:val="12D6184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178B69A4"/>
    <w:multiLevelType w:val="multilevel"/>
    <w:tmpl w:val="F98858BC"/>
    <w:lvl w:ilvl="0">
      <w:start w:val="1"/>
      <w:numFmt w:val="decimal"/>
      <w:lvlText w:val="CAPÍTULO %1."/>
      <w:lvlJc w:val="left"/>
      <w:pPr>
        <w:snapToGrid w:val="0"/>
        <w:ind w:left="2062" w:hanging="360"/>
      </w:pPr>
      <w:rPr>
        <w:rFonts w:ascii="Arial" w:hAnsi="Arial" w:cs="Arial" w:hint="default"/>
        <w:b/>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start w:val="1"/>
      <w:numFmt w:val="decimal"/>
      <w:isLgl/>
      <w:lvlText w:val="SUBCAPÍTULO %1.%2"/>
      <w:lvlJc w:val="left"/>
      <w:pPr>
        <w:ind w:left="1134" w:firstLine="0"/>
      </w:pPr>
      <w:rPr>
        <w:rFonts w:ascii="Arial" w:hAnsi="Arial" w:cs="Arial" w:hint="default"/>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isLgl/>
      <w:lvlText w:val="Artículo %1.%2.%3"/>
      <w:lvlJc w:val="left"/>
      <w:pPr>
        <w:ind w:left="432" w:hanging="432"/>
      </w:pPr>
    </w:lvl>
    <w:lvl w:ilvl="3">
      <w:start w:val="1"/>
      <w:numFmt w:val="lowerRoman"/>
      <w:lvlText w:val="(%4)"/>
      <w:lvlJc w:val="right"/>
      <w:pPr>
        <w:ind w:left="864" w:hanging="144"/>
      </w:pPr>
      <w:rPr>
        <w:rFonts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nsid w:val="1C437913"/>
    <w:multiLevelType w:val="hybridMultilevel"/>
    <w:tmpl w:val="4E3CEDF8"/>
    <w:lvl w:ilvl="0" w:tplc="0C0A0003">
      <w:start w:val="1"/>
      <w:numFmt w:val="bullet"/>
      <w:lvlText w:val="o"/>
      <w:lvlJc w:val="left"/>
      <w:pPr>
        <w:ind w:left="1440" w:hanging="360"/>
      </w:pPr>
      <w:rPr>
        <w:rFonts w:ascii="Courier New" w:hAnsi="Courier New" w:cs="Courier New" w:hint="default"/>
      </w:rPr>
    </w:lvl>
    <w:lvl w:ilvl="1" w:tplc="040A0003">
      <w:start w:val="1"/>
      <w:numFmt w:val="bullet"/>
      <w:lvlText w:val="o"/>
      <w:lvlJc w:val="left"/>
      <w:pPr>
        <w:ind w:left="2160" w:hanging="360"/>
      </w:pPr>
      <w:rPr>
        <w:rFonts w:ascii="Courier New" w:hAnsi="Courier New" w:cs="Courier New" w:hint="default"/>
      </w:rPr>
    </w:lvl>
    <w:lvl w:ilvl="2" w:tplc="040A0005">
      <w:start w:val="1"/>
      <w:numFmt w:val="bullet"/>
      <w:lvlText w:val=""/>
      <w:lvlJc w:val="left"/>
      <w:pPr>
        <w:ind w:left="2880" w:hanging="360"/>
      </w:pPr>
      <w:rPr>
        <w:rFonts w:ascii="Wingdings" w:hAnsi="Wingdings" w:hint="default"/>
      </w:rPr>
    </w:lvl>
    <w:lvl w:ilvl="3" w:tplc="040A0001">
      <w:start w:val="1"/>
      <w:numFmt w:val="bullet"/>
      <w:lvlText w:val=""/>
      <w:lvlJc w:val="left"/>
      <w:pPr>
        <w:ind w:left="3600" w:hanging="360"/>
      </w:pPr>
      <w:rPr>
        <w:rFonts w:ascii="Symbol" w:hAnsi="Symbol" w:hint="default"/>
      </w:rPr>
    </w:lvl>
    <w:lvl w:ilvl="4" w:tplc="040A0003">
      <w:start w:val="1"/>
      <w:numFmt w:val="bullet"/>
      <w:lvlText w:val="o"/>
      <w:lvlJc w:val="left"/>
      <w:pPr>
        <w:ind w:left="4320" w:hanging="360"/>
      </w:pPr>
      <w:rPr>
        <w:rFonts w:ascii="Courier New" w:hAnsi="Courier New" w:cs="Courier New" w:hint="default"/>
      </w:rPr>
    </w:lvl>
    <w:lvl w:ilvl="5" w:tplc="040A0005">
      <w:start w:val="1"/>
      <w:numFmt w:val="bullet"/>
      <w:lvlText w:val=""/>
      <w:lvlJc w:val="left"/>
      <w:pPr>
        <w:ind w:left="5040" w:hanging="360"/>
      </w:pPr>
      <w:rPr>
        <w:rFonts w:ascii="Wingdings" w:hAnsi="Wingdings" w:hint="default"/>
      </w:rPr>
    </w:lvl>
    <w:lvl w:ilvl="6" w:tplc="040A0001">
      <w:start w:val="1"/>
      <w:numFmt w:val="bullet"/>
      <w:lvlText w:val=""/>
      <w:lvlJc w:val="left"/>
      <w:pPr>
        <w:ind w:left="5760" w:hanging="360"/>
      </w:pPr>
      <w:rPr>
        <w:rFonts w:ascii="Symbol" w:hAnsi="Symbol" w:hint="default"/>
      </w:rPr>
    </w:lvl>
    <w:lvl w:ilvl="7" w:tplc="040A0003">
      <w:start w:val="1"/>
      <w:numFmt w:val="bullet"/>
      <w:lvlText w:val="o"/>
      <w:lvlJc w:val="left"/>
      <w:pPr>
        <w:ind w:left="6480" w:hanging="360"/>
      </w:pPr>
      <w:rPr>
        <w:rFonts w:ascii="Courier New" w:hAnsi="Courier New" w:cs="Courier New" w:hint="default"/>
      </w:rPr>
    </w:lvl>
    <w:lvl w:ilvl="8" w:tplc="040A0005">
      <w:start w:val="1"/>
      <w:numFmt w:val="bullet"/>
      <w:lvlText w:val=""/>
      <w:lvlJc w:val="left"/>
      <w:pPr>
        <w:ind w:left="7200" w:hanging="360"/>
      </w:pPr>
      <w:rPr>
        <w:rFonts w:ascii="Wingdings" w:hAnsi="Wingdings" w:hint="default"/>
      </w:rPr>
    </w:lvl>
  </w:abstractNum>
  <w:abstractNum w:abstractNumId="6">
    <w:nsid w:val="23693A78"/>
    <w:multiLevelType w:val="hybridMultilevel"/>
    <w:tmpl w:val="0B286160"/>
    <w:lvl w:ilvl="0" w:tplc="040A0001">
      <w:start w:val="1"/>
      <w:numFmt w:val="bullet"/>
      <w:lvlText w:val=""/>
      <w:lvlJc w:val="left"/>
      <w:pPr>
        <w:ind w:left="720" w:hanging="360"/>
      </w:pPr>
      <w:rPr>
        <w:rFonts w:ascii="Symbol" w:hAnsi="Symbol" w:hint="default"/>
      </w:rPr>
    </w:lvl>
    <w:lvl w:ilvl="1" w:tplc="33908F2A">
      <w:numFmt w:val="bullet"/>
      <w:lvlText w:val="-"/>
      <w:lvlJc w:val="left"/>
      <w:pPr>
        <w:ind w:left="1440" w:hanging="360"/>
      </w:pPr>
      <w:rPr>
        <w:rFonts w:ascii="Arial" w:eastAsia="Times New Roman" w:hAnsi="Arial" w:cs="Arial"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7">
    <w:nsid w:val="257D5A81"/>
    <w:multiLevelType w:val="hybridMultilevel"/>
    <w:tmpl w:val="A650F96E"/>
    <w:lvl w:ilvl="0" w:tplc="BD449042">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29F8457A"/>
    <w:multiLevelType w:val="hybridMultilevel"/>
    <w:tmpl w:val="3AFAE342"/>
    <w:lvl w:ilvl="0" w:tplc="040A0001">
      <w:start w:val="1"/>
      <w:numFmt w:val="bullet"/>
      <w:lvlText w:val=""/>
      <w:lvlJc w:val="left"/>
      <w:pPr>
        <w:ind w:left="787" w:hanging="360"/>
      </w:pPr>
      <w:rPr>
        <w:rFonts w:ascii="Symbol" w:hAnsi="Symbol" w:hint="default"/>
      </w:rPr>
    </w:lvl>
    <w:lvl w:ilvl="1" w:tplc="040A0003">
      <w:start w:val="1"/>
      <w:numFmt w:val="bullet"/>
      <w:lvlText w:val="o"/>
      <w:lvlJc w:val="left"/>
      <w:pPr>
        <w:ind w:left="1507" w:hanging="360"/>
      </w:pPr>
      <w:rPr>
        <w:rFonts w:ascii="Courier New" w:hAnsi="Courier New" w:cs="Courier New" w:hint="default"/>
      </w:rPr>
    </w:lvl>
    <w:lvl w:ilvl="2" w:tplc="040A0005">
      <w:start w:val="1"/>
      <w:numFmt w:val="bullet"/>
      <w:lvlText w:val=""/>
      <w:lvlJc w:val="left"/>
      <w:pPr>
        <w:ind w:left="2227" w:hanging="360"/>
      </w:pPr>
      <w:rPr>
        <w:rFonts w:ascii="Wingdings" w:hAnsi="Wingdings" w:hint="default"/>
      </w:rPr>
    </w:lvl>
    <w:lvl w:ilvl="3" w:tplc="040A0001">
      <w:start w:val="1"/>
      <w:numFmt w:val="bullet"/>
      <w:lvlText w:val=""/>
      <w:lvlJc w:val="left"/>
      <w:pPr>
        <w:ind w:left="2947" w:hanging="360"/>
      </w:pPr>
      <w:rPr>
        <w:rFonts w:ascii="Symbol" w:hAnsi="Symbol" w:hint="default"/>
      </w:rPr>
    </w:lvl>
    <w:lvl w:ilvl="4" w:tplc="040A0003">
      <w:start w:val="1"/>
      <w:numFmt w:val="bullet"/>
      <w:lvlText w:val="o"/>
      <w:lvlJc w:val="left"/>
      <w:pPr>
        <w:ind w:left="3667" w:hanging="360"/>
      </w:pPr>
      <w:rPr>
        <w:rFonts w:ascii="Courier New" w:hAnsi="Courier New" w:cs="Courier New" w:hint="default"/>
      </w:rPr>
    </w:lvl>
    <w:lvl w:ilvl="5" w:tplc="040A0005">
      <w:start w:val="1"/>
      <w:numFmt w:val="bullet"/>
      <w:lvlText w:val=""/>
      <w:lvlJc w:val="left"/>
      <w:pPr>
        <w:ind w:left="4387" w:hanging="360"/>
      </w:pPr>
      <w:rPr>
        <w:rFonts w:ascii="Wingdings" w:hAnsi="Wingdings" w:hint="default"/>
      </w:rPr>
    </w:lvl>
    <w:lvl w:ilvl="6" w:tplc="040A0001">
      <w:start w:val="1"/>
      <w:numFmt w:val="bullet"/>
      <w:lvlText w:val=""/>
      <w:lvlJc w:val="left"/>
      <w:pPr>
        <w:ind w:left="5107" w:hanging="360"/>
      </w:pPr>
      <w:rPr>
        <w:rFonts w:ascii="Symbol" w:hAnsi="Symbol" w:hint="default"/>
      </w:rPr>
    </w:lvl>
    <w:lvl w:ilvl="7" w:tplc="040A0003">
      <w:start w:val="1"/>
      <w:numFmt w:val="bullet"/>
      <w:lvlText w:val="o"/>
      <w:lvlJc w:val="left"/>
      <w:pPr>
        <w:ind w:left="5827" w:hanging="360"/>
      </w:pPr>
      <w:rPr>
        <w:rFonts w:ascii="Courier New" w:hAnsi="Courier New" w:cs="Courier New" w:hint="default"/>
      </w:rPr>
    </w:lvl>
    <w:lvl w:ilvl="8" w:tplc="040A0005">
      <w:start w:val="1"/>
      <w:numFmt w:val="bullet"/>
      <w:lvlText w:val=""/>
      <w:lvlJc w:val="left"/>
      <w:pPr>
        <w:ind w:left="6547" w:hanging="360"/>
      </w:pPr>
      <w:rPr>
        <w:rFonts w:ascii="Wingdings" w:hAnsi="Wingdings" w:hint="default"/>
      </w:rPr>
    </w:lvl>
  </w:abstractNum>
  <w:abstractNum w:abstractNumId="9">
    <w:nsid w:val="314A3141"/>
    <w:multiLevelType w:val="hybridMultilevel"/>
    <w:tmpl w:val="83D2A116"/>
    <w:lvl w:ilvl="0" w:tplc="B52CE174">
      <w:start w:val="1"/>
      <w:numFmt w:val="bullet"/>
      <w:lvlText w:val=""/>
      <w:lvlJc w:val="left"/>
      <w:pPr>
        <w:ind w:left="720" w:hanging="360"/>
      </w:pPr>
      <w:rPr>
        <w:rFonts w:ascii="Symbol" w:hAnsi="Symbol" w:hint="default"/>
      </w:rPr>
    </w:lvl>
    <w:lvl w:ilvl="1" w:tplc="D15C31BA">
      <w:start w:val="1"/>
      <w:numFmt w:val="bullet"/>
      <w:lvlText w:val="o"/>
      <w:lvlJc w:val="left"/>
      <w:pPr>
        <w:ind w:left="1440" w:hanging="360"/>
      </w:pPr>
      <w:rPr>
        <w:rFonts w:ascii="Courier New" w:hAnsi="Courier New" w:cs="Courier New" w:hint="default"/>
      </w:rPr>
    </w:lvl>
    <w:lvl w:ilvl="2" w:tplc="32B83B7C">
      <w:start w:val="1"/>
      <w:numFmt w:val="bullet"/>
      <w:lvlText w:val=""/>
      <w:lvlJc w:val="left"/>
      <w:pPr>
        <w:ind w:left="2160" w:hanging="360"/>
      </w:pPr>
      <w:rPr>
        <w:rFonts w:ascii="Wingdings" w:hAnsi="Wingdings" w:hint="default"/>
      </w:rPr>
    </w:lvl>
    <w:lvl w:ilvl="3" w:tplc="8B50E598">
      <w:start w:val="1"/>
      <w:numFmt w:val="bullet"/>
      <w:lvlText w:val=""/>
      <w:lvlJc w:val="left"/>
      <w:pPr>
        <w:ind w:left="2880" w:hanging="360"/>
      </w:pPr>
      <w:rPr>
        <w:rFonts w:ascii="Symbol" w:hAnsi="Symbol" w:hint="default"/>
      </w:rPr>
    </w:lvl>
    <w:lvl w:ilvl="4" w:tplc="9EBE7D32">
      <w:start w:val="1"/>
      <w:numFmt w:val="bullet"/>
      <w:lvlText w:val="o"/>
      <w:lvlJc w:val="left"/>
      <w:pPr>
        <w:ind w:left="3600" w:hanging="360"/>
      </w:pPr>
      <w:rPr>
        <w:rFonts w:ascii="Courier New" w:hAnsi="Courier New" w:cs="Courier New" w:hint="default"/>
      </w:rPr>
    </w:lvl>
    <w:lvl w:ilvl="5" w:tplc="82E2B540">
      <w:start w:val="1"/>
      <w:numFmt w:val="bullet"/>
      <w:lvlText w:val=""/>
      <w:lvlJc w:val="left"/>
      <w:pPr>
        <w:ind w:left="4320" w:hanging="360"/>
      </w:pPr>
      <w:rPr>
        <w:rFonts w:ascii="Wingdings" w:hAnsi="Wingdings" w:hint="default"/>
      </w:rPr>
    </w:lvl>
    <w:lvl w:ilvl="6" w:tplc="D34A3B9E">
      <w:start w:val="1"/>
      <w:numFmt w:val="bullet"/>
      <w:lvlText w:val=""/>
      <w:lvlJc w:val="left"/>
      <w:pPr>
        <w:ind w:left="5040" w:hanging="360"/>
      </w:pPr>
      <w:rPr>
        <w:rFonts w:ascii="Symbol" w:hAnsi="Symbol" w:hint="default"/>
      </w:rPr>
    </w:lvl>
    <w:lvl w:ilvl="7" w:tplc="AE128A2E">
      <w:start w:val="1"/>
      <w:numFmt w:val="bullet"/>
      <w:lvlText w:val="o"/>
      <w:lvlJc w:val="left"/>
      <w:pPr>
        <w:ind w:left="5760" w:hanging="360"/>
      </w:pPr>
      <w:rPr>
        <w:rFonts w:ascii="Courier New" w:hAnsi="Courier New" w:cs="Courier New" w:hint="default"/>
      </w:rPr>
    </w:lvl>
    <w:lvl w:ilvl="8" w:tplc="83F83F0C">
      <w:start w:val="1"/>
      <w:numFmt w:val="bullet"/>
      <w:lvlText w:val=""/>
      <w:lvlJc w:val="left"/>
      <w:pPr>
        <w:ind w:left="6480" w:hanging="360"/>
      </w:pPr>
      <w:rPr>
        <w:rFonts w:ascii="Wingdings" w:hAnsi="Wingdings" w:hint="default"/>
      </w:rPr>
    </w:lvl>
  </w:abstractNum>
  <w:abstractNum w:abstractNumId="10">
    <w:nsid w:val="32CE4CE0"/>
    <w:multiLevelType w:val="hybridMultilevel"/>
    <w:tmpl w:val="C65C63AE"/>
    <w:lvl w:ilvl="0" w:tplc="B5F4D4D4">
      <w:start w:val="1"/>
      <w:numFmt w:val="bullet"/>
      <w:lvlText w:val=""/>
      <w:lvlJc w:val="left"/>
      <w:pPr>
        <w:ind w:left="927" w:hanging="360"/>
      </w:pPr>
      <w:rPr>
        <w:rFonts w:ascii="Wingdings" w:hAnsi="Wingdings" w:hint="default"/>
      </w:rPr>
    </w:lvl>
    <w:lvl w:ilvl="1" w:tplc="040A0003">
      <w:start w:val="1"/>
      <w:numFmt w:val="bullet"/>
      <w:lvlText w:val="o"/>
      <w:lvlJc w:val="left"/>
      <w:pPr>
        <w:ind w:left="2574" w:hanging="360"/>
      </w:pPr>
      <w:rPr>
        <w:rFonts w:ascii="Courier New" w:hAnsi="Courier New" w:cs="Courier New" w:hint="default"/>
      </w:rPr>
    </w:lvl>
    <w:lvl w:ilvl="2" w:tplc="040A0005">
      <w:start w:val="1"/>
      <w:numFmt w:val="bullet"/>
      <w:lvlText w:val=""/>
      <w:lvlJc w:val="left"/>
      <w:pPr>
        <w:ind w:left="3294" w:hanging="360"/>
      </w:pPr>
      <w:rPr>
        <w:rFonts w:ascii="Wingdings" w:hAnsi="Wingdings" w:hint="default"/>
      </w:rPr>
    </w:lvl>
    <w:lvl w:ilvl="3" w:tplc="040A0001">
      <w:start w:val="1"/>
      <w:numFmt w:val="bullet"/>
      <w:lvlText w:val=""/>
      <w:lvlJc w:val="left"/>
      <w:pPr>
        <w:ind w:left="4014" w:hanging="360"/>
      </w:pPr>
      <w:rPr>
        <w:rFonts w:ascii="Symbol" w:hAnsi="Symbol" w:hint="default"/>
      </w:rPr>
    </w:lvl>
    <w:lvl w:ilvl="4" w:tplc="040A0003">
      <w:start w:val="1"/>
      <w:numFmt w:val="bullet"/>
      <w:lvlText w:val="o"/>
      <w:lvlJc w:val="left"/>
      <w:pPr>
        <w:ind w:left="4734" w:hanging="360"/>
      </w:pPr>
      <w:rPr>
        <w:rFonts w:ascii="Courier New" w:hAnsi="Courier New" w:cs="Courier New" w:hint="default"/>
      </w:rPr>
    </w:lvl>
    <w:lvl w:ilvl="5" w:tplc="040A0005">
      <w:start w:val="1"/>
      <w:numFmt w:val="bullet"/>
      <w:lvlText w:val=""/>
      <w:lvlJc w:val="left"/>
      <w:pPr>
        <w:ind w:left="5454" w:hanging="360"/>
      </w:pPr>
      <w:rPr>
        <w:rFonts w:ascii="Wingdings" w:hAnsi="Wingdings" w:hint="default"/>
      </w:rPr>
    </w:lvl>
    <w:lvl w:ilvl="6" w:tplc="040A0001">
      <w:start w:val="1"/>
      <w:numFmt w:val="bullet"/>
      <w:lvlText w:val=""/>
      <w:lvlJc w:val="left"/>
      <w:pPr>
        <w:ind w:left="6174" w:hanging="360"/>
      </w:pPr>
      <w:rPr>
        <w:rFonts w:ascii="Symbol" w:hAnsi="Symbol" w:hint="default"/>
      </w:rPr>
    </w:lvl>
    <w:lvl w:ilvl="7" w:tplc="040A0003">
      <w:start w:val="1"/>
      <w:numFmt w:val="bullet"/>
      <w:lvlText w:val="o"/>
      <w:lvlJc w:val="left"/>
      <w:pPr>
        <w:ind w:left="6894" w:hanging="360"/>
      </w:pPr>
      <w:rPr>
        <w:rFonts w:ascii="Courier New" w:hAnsi="Courier New" w:cs="Courier New" w:hint="default"/>
      </w:rPr>
    </w:lvl>
    <w:lvl w:ilvl="8" w:tplc="040A0005">
      <w:start w:val="1"/>
      <w:numFmt w:val="bullet"/>
      <w:lvlText w:val=""/>
      <w:lvlJc w:val="left"/>
      <w:pPr>
        <w:ind w:left="7614" w:hanging="360"/>
      </w:pPr>
      <w:rPr>
        <w:rFonts w:ascii="Wingdings" w:hAnsi="Wingdings" w:hint="default"/>
      </w:rPr>
    </w:lvl>
  </w:abstractNum>
  <w:abstractNum w:abstractNumId="11">
    <w:nsid w:val="356364EB"/>
    <w:multiLevelType w:val="hybridMultilevel"/>
    <w:tmpl w:val="943C6FB6"/>
    <w:lvl w:ilvl="0" w:tplc="25020370">
      <w:start w:val="1"/>
      <w:numFmt w:val="bullet"/>
      <w:lvlText w:val="o"/>
      <w:lvlJc w:val="left"/>
      <w:pPr>
        <w:ind w:left="1814" w:hanging="360"/>
      </w:pPr>
      <w:rPr>
        <w:rFonts w:ascii="Courier New" w:hAnsi="Courier New" w:cs="Courier New" w:hint="default"/>
      </w:rPr>
    </w:lvl>
    <w:lvl w:ilvl="1" w:tplc="0C0A0003">
      <w:start w:val="1"/>
      <w:numFmt w:val="bullet"/>
      <w:lvlText w:val="o"/>
      <w:lvlJc w:val="left"/>
      <w:pPr>
        <w:ind w:left="2534" w:hanging="360"/>
      </w:pPr>
      <w:rPr>
        <w:rFonts w:ascii="Courier New" w:hAnsi="Courier New" w:cs="Courier New" w:hint="default"/>
      </w:rPr>
    </w:lvl>
    <w:lvl w:ilvl="2" w:tplc="0C0A0005">
      <w:start w:val="1"/>
      <w:numFmt w:val="bullet"/>
      <w:lvlText w:val=""/>
      <w:lvlJc w:val="left"/>
      <w:pPr>
        <w:ind w:left="3254" w:hanging="360"/>
      </w:pPr>
      <w:rPr>
        <w:rFonts w:ascii="Wingdings" w:hAnsi="Wingdings" w:hint="default"/>
      </w:rPr>
    </w:lvl>
    <w:lvl w:ilvl="3" w:tplc="0C0A0001">
      <w:start w:val="1"/>
      <w:numFmt w:val="bullet"/>
      <w:lvlText w:val=""/>
      <w:lvlJc w:val="left"/>
      <w:pPr>
        <w:ind w:left="3974" w:hanging="360"/>
      </w:pPr>
      <w:rPr>
        <w:rFonts w:ascii="Symbol" w:hAnsi="Symbol" w:hint="default"/>
      </w:rPr>
    </w:lvl>
    <w:lvl w:ilvl="4" w:tplc="0C0A0003">
      <w:start w:val="1"/>
      <w:numFmt w:val="bullet"/>
      <w:lvlText w:val="o"/>
      <w:lvlJc w:val="left"/>
      <w:pPr>
        <w:ind w:left="4694" w:hanging="360"/>
      </w:pPr>
      <w:rPr>
        <w:rFonts w:ascii="Courier New" w:hAnsi="Courier New" w:cs="Courier New" w:hint="default"/>
      </w:rPr>
    </w:lvl>
    <w:lvl w:ilvl="5" w:tplc="0C0A0005">
      <w:start w:val="1"/>
      <w:numFmt w:val="bullet"/>
      <w:lvlText w:val=""/>
      <w:lvlJc w:val="left"/>
      <w:pPr>
        <w:ind w:left="5414" w:hanging="360"/>
      </w:pPr>
      <w:rPr>
        <w:rFonts w:ascii="Wingdings" w:hAnsi="Wingdings" w:hint="default"/>
      </w:rPr>
    </w:lvl>
    <w:lvl w:ilvl="6" w:tplc="0C0A0001">
      <w:start w:val="1"/>
      <w:numFmt w:val="bullet"/>
      <w:lvlText w:val=""/>
      <w:lvlJc w:val="left"/>
      <w:pPr>
        <w:ind w:left="6134" w:hanging="360"/>
      </w:pPr>
      <w:rPr>
        <w:rFonts w:ascii="Symbol" w:hAnsi="Symbol" w:hint="default"/>
      </w:rPr>
    </w:lvl>
    <w:lvl w:ilvl="7" w:tplc="0C0A0003">
      <w:start w:val="1"/>
      <w:numFmt w:val="bullet"/>
      <w:lvlText w:val="o"/>
      <w:lvlJc w:val="left"/>
      <w:pPr>
        <w:ind w:left="6854" w:hanging="360"/>
      </w:pPr>
      <w:rPr>
        <w:rFonts w:ascii="Courier New" w:hAnsi="Courier New" w:cs="Courier New" w:hint="default"/>
      </w:rPr>
    </w:lvl>
    <w:lvl w:ilvl="8" w:tplc="0C0A0005">
      <w:start w:val="1"/>
      <w:numFmt w:val="bullet"/>
      <w:lvlText w:val=""/>
      <w:lvlJc w:val="left"/>
      <w:pPr>
        <w:ind w:left="7574" w:hanging="360"/>
      </w:pPr>
      <w:rPr>
        <w:rFonts w:ascii="Wingdings" w:hAnsi="Wingdings" w:hint="default"/>
      </w:rPr>
    </w:lvl>
  </w:abstractNum>
  <w:abstractNum w:abstractNumId="12">
    <w:nsid w:val="35681056"/>
    <w:multiLevelType w:val="hybridMultilevel"/>
    <w:tmpl w:val="65223A5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35C33CD7"/>
    <w:multiLevelType w:val="hybridMultilevel"/>
    <w:tmpl w:val="680E3762"/>
    <w:lvl w:ilvl="0" w:tplc="EB920920">
      <w:start w:val="1"/>
      <w:numFmt w:val="bullet"/>
      <w:lvlText w:val=""/>
      <w:lvlJc w:val="left"/>
      <w:pPr>
        <w:ind w:left="720" w:hanging="360"/>
      </w:pPr>
      <w:rPr>
        <w:rFonts w:ascii="Symbol" w:hAnsi="Symbol" w:hint="default"/>
      </w:rPr>
    </w:lvl>
    <w:lvl w:ilvl="1" w:tplc="6C322B44">
      <w:start w:val="1"/>
      <w:numFmt w:val="bullet"/>
      <w:lvlText w:val="o"/>
      <w:lvlJc w:val="left"/>
      <w:pPr>
        <w:ind w:left="1440" w:hanging="360"/>
      </w:pPr>
      <w:rPr>
        <w:rFonts w:ascii="Courier New" w:hAnsi="Courier New" w:cs="Courier New" w:hint="default"/>
      </w:rPr>
    </w:lvl>
    <w:lvl w:ilvl="2" w:tplc="256AC7C0">
      <w:start w:val="1"/>
      <w:numFmt w:val="bullet"/>
      <w:lvlText w:val=""/>
      <w:lvlJc w:val="left"/>
      <w:pPr>
        <w:ind w:left="2160" w:hanging="360"/>
      </w:pPr>
      <w:rPr>
        <w:rFonts w:ascii="Wingdings" w:hAnsi="Wingdings" w:hint="default"/>
      </w:rPr>
    </w:lvl>
    <w:lvl w:ilvl="3" w:tplc="C0A8A416">
      <w:start w:val="1"/>
      <w:numFmt w:val="bullet"/>
      <w:lvlText w:val=""/>
      <w:lvlJc w:val="left"/>
      <w:pPr>
        <w:ind w:left="2880" w:hanging="360"/>
      </w:pPr>
      <w:rPr>
        <w:rFonts w:ascii="Symbol" w:hAnsi="Symbol" w:hint="default"/>
      </w:rPr>
    </w:lvl>
    <w:lvl w:ilvl="4" w:tplc="739A790A">
      <w:start w:val="1"/>
      <w:numFmt w:val="bullet"/>
      <w:lvlText w:val="o"/>
      <w:lvlJc w:val="left"/>
      <w:pPr>
        <w:ind w:left="3600" w:hanging="360"/>
      </w:pPr>
      <w:rPr>
        <w:rFonts w:ascii="Courier New" w:hAnsi="Courier New" w:cs="Courier New" w:hint="default"/>
      </w:rPr>
    </w:lvl>
    <w:lvl w:ilvl="5" w:tplc="FE000D2C">
      <w:start w:val="1"/>
      <w:numFmt w:val="bullet"/>
      <w:lvlText w:val=""/>
      <w:lvlJc w:val="left"/>
      <w:pPr>
        <w:ind w:left="4320" w:hanging="360"/>
      </w:pPr>
      <w:rPr>
        <w:rFonts w:ascii="Wingdings" w:hAnsi="Wingdings" w:hint="default"/>
      </w:rPr>
    </w:lvl>
    <w:lvl w:ilvl="6" w:tplc="BC1E50A8">
      <w:start w:val="1"/>
      <w:numFmt w:val="bullet"/>
      <w:lvlText w:val=""/>
      <w:lvlJc w:val="left"/>
      <w:pPr>
        <w:ind w:left="5040" w:hanging="360"/>
      </w:pPr>
      <w:rPr>
        <w:rFonts w:ascii="Symbol" w:hAnsi="Symbol" w:hint="default"/>
      </w:rPr>
    </w:lvl>
    <w:lvl w:ilvl="7" w:tplc="D426502E">
      <w:start w:val="1"/>
      <w:numFmt w:val="bullet"/>
      <w:lvlText w:val="o"/>
      <w:lvlJc w:val="left"/>
      <w:pPr>
        <w:ind w:left="5760" w:hanging="360"/>
      </w:pPr>
      <w:rPr>
        <w:rFonts w:ascii="Courier New" w:hAnsi="Courier New" w:cs="Courier New" w:hint="default"/>
      </w:rPr>
    </w:lvl>
    <w:lvl w:ilvl="8" w:tplc="86A872B4">
      <w:start w:val="1"/>
      <w:numFmt w:val="bullet"/>
      <w:lvlText w:val=""/>
      <w:lvlJc w:val="left"/>
      <w:pPr>
        <w:ind w:left="6480" w:hanging="360"/>
      </w:pPr>
      <w:rPr>
        <w:rFonts w:ascii="Wingdings" w:hAnsi="Wingdings" w:hint="default"/>
      </w:rPr>
    </w:lvl>
  </w:abstractNum>
  <w:abstractNum w:abstractNumId="14">
    <w:nsid w:val="381F418B"/>
    <w:multiLevelType w:val="hybridMultilevel"/>
    <w:tmpl w:val="3C5E2D68"/>
    <w:lvl w:ilvl="0" w:tplc="0C0A0001">
      <w:start w:val="2"/>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nsid w:val="383B6218"/>
    <w:multiLevelType w:val="hybridMultilevel"/>
    <w:tmpl w:val="03BECE06"/>
    <w:lvl w:ilvl="0" w:tplc="0C0A000B">
      <w:start w:val="1"/>
      <w:numFmt w:val="bullet"/>
      <w:lvlText w:val=""/>
      <w:lvlJc w:val="left"/>
      <w:pPr>
        <w:ind w:left="720" w:hanging="360"/>
      </w:pPr>
      <w:rPr>
        <w:rFonts w:ascii="Wingdings" w:hAnsi="Wingdings"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6">
    <w:nsid w:val="39BE5F89"/>
    <w:multiLevelType w:val="hybridMultilevel"/>
    <w:tmpl w:val="91C24714"/>
    <w:lvl w:ilvl="0" w:tplc="A08A4248">
      <w:start w:val="1"/>
      <w:numFmt w:val="decimal"/>
      <w:pStyle w:val="Tabla"/>
      <w:lvlText w:val="Tabla %1."/>
      <w:lvlJc w:val="left"/>
      <w:pPr>
        <w:ind w:left="1080" w:hanging="360"/>
      </w:pPr>
      <w:rPr>
        <w:rFonts w:ascii="Arial" w:hAnsi="Arial" w:cs="Times New Roman" w:hint="default"/>
        <w:b w:val="0"/>
        <w:bCs w:val="0"/>
        <w:i w:val="0"/>
        <w:iCs w:val="0"/>
        <w:caps w:val="0"/>
        <w:strike w:val="0"/>
        <w:dstrike w:val="0"/>
        <w:vanish w:val="0"/>
        <w:webHidden w:val="0"/>
        <w:color w:val="000000"/>
        <w:spacing w:val="0"/>
        <w:kern w:val="0"/>
        <w:position w:val="0"/>
        <w:u w:val="none"/>
        <w:effect w:val="none"/>
        <w:vertAlign w:val="baseline"/>
        <w:em w:val="none"/>
        <w:specVanish w:val="0"/>
      </w:rPr>
    </w:lvl>
    <w:lvl w:ilvl="1" w:tplc="3EACB9BE">
      <w:start w:val="1"/>
      <w:numFmt w:val="lowerLetter"/>
      <w:lvlText w:val="%2."/>
      <w:lvlJc w:val="left"/>
      <w:pPr>
        <w:ind w:left="1800" w:hanging="360"/>
      </w:pPr>
    </w:lvl>
    <w:lvl w:ilvl="2" w:tplc="2D78BF50">
      <w:start w:val="1"/>
      <w:numFmt w:val="lowerRoman"/>
      <w:lvlText w:val="%3."/>
      <w:lvlJc w:val="right"/>
      <w:pPr>
        <w:ind w:left="2520" w:hanging="180"/>
      </w:pPr>
    </w:lvl>
    <w:lvl w:ilvl="3" w:tplc="1586F8C4">
      <w:start w:val="1"/>
      <w:numFmt w:val="decimal"/>
      <w:lvlText w:val="%4."/>
      <w:lvlJc w:val="left"/>
      <w:pPr>
        <w:ind w:left="3240" w:hanging="360"/>
      </w:pPr>
    </w:lvl>
    <w:lvl w:ilvl="4" w:tplc="351845D2">
      <w:start w:val="1"/>
      <w:numFmt w:val="lowerLetter"/>
      <w:lvlText w:val="%5."/>
      <w:lvlJc w:val="left"/>
      <w:pPr>
        <w:ind w:left="3960" w:hanging="360"/>
      </w:pPr>
    </w:lvl>
    <w:lvl w:ilvl="5" w:tplc="1F2A07C6">
      <w:start w:val="1"/>
      <w:numFmt w:val="lowerRoman"/>
      <w:lvlText w:val="%6."/>
      <w:lvlJc w:val="right"/>
      <w:pPr>
        <w:ind w:left="4680" w:hanging="180"/>
      </w:pPr>
    </w:lvl>
    <w:lvl w:ilvl="6" w:tplc="7FCE7760">
      <w:start w:val="1"/>
      <w:numFmt w:val="decimal"/>
      <w:lvlText w:val="%7."/>
      <w:lvlJc w:val="left"/>
      <w:pPr>
        <w:ind w:left="5400" w:hanging="360"/>
      </w:pPr>
    </w:lvl>
    <w:lvl w:ilvl="7" w:tplc="F9DE7082">
      <w:start w:val="1"/>
      <w:numFmt w:val="lowerLetter"/>
      <w:lvlText w:val="%8."/>
      <w:lvlJc w:val="left"/>
      <w:pPr>
        <w:ind w:left="6120" w:hanging="360"/>
      </w:pPr>
    </w:lvl>
    <w:lvl w:ilvl="8" w:tplc="C24C647C">
      <w:start w:val="1"/>
      <w:numFmt w:val="lowerRoman"/>
      <w:lvlText w:val="%9."/>
      <w:lvlJc w:val="right"/>
      <w:pPr>
        <w:ind w:left="6840" w:hanging="180"/>
      </w:pPr>
    </w:lvl>
  </w:abstractNum>
  <w:abstractNum w:abstractNumId="17">
    <w:nsid w:val="3AA50DE0"/>
    <w:multiLevelType w:val="singleLevel"/>
    <w:tmpl w:val="54C6C862"/>
    <w:lvl w:ilvl="0">
      <w:start w:val="7"/>
      <w:numFmt w:val="bullet"/>
      <w:pStyle w:val="vieta2"/>
      <w:lvlText w:val="-"/>
      <w:lvlJc w:val="left"/>
      <w:pPr>
        <w:tabs>
          <w:tab w:val="num" w:pos="360"/>
        </w:tabs>
        <w:ind w:left="360" w:hanging="360"/>
      </w:pPr>
      <w:rPr>
        <w:rFonts w:hint="default"/>
      </w:rPr>
    </w:lvl>
  </w:abstractNum>
  <w:abstractNum w:abstractNumId="18">
    <w:nsid w:val="3C1B0AF1"/>
    <w:multiLevelType w:val="hybridMultilevel"/>
    <w:tmpl w:val="BE0EA404"/>
    <w:lvl w:ilvl="0" w:tplc="8ACAD0F2">
      <w:start w:val="1"/>
      <w:numFmt w:val="decimal"/>
      <w:pStyle w:val="Ttulo1"/>
      <w:lvlText w:val="CAPÍTULO %1."/>
      <w:lvlJc w:val="left"/>
      <w:pPr>
        <w:ind w:left="720" w:hanging="360"/>
      </w:pPr>
      <w:rPr>
        <w:rFonts w:ascii="Arial Negrita" w:hAnsi="Arial Negrita" w:hint="default"/>
        <w:b/>
        <w:i w:val="0"/>
        <w:color w:val="auto"/>
        <w:sz w:val="28"/>
        <w:u w:val="thick"/>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F960F7F"/>
    <w:multiLevelType w:val="hybridMultilevel"/>
    <w:tmpl w:val="57863F54"/>
    <w:lvl w:ilvl="0" w:tplc="F0349E6E">
      <w:start w:val="1"/>
      <w:numFmt w:val="decimal"/>
      <w:lvlText w:val="%1."/>
      <w:lvlJc w:val="left"/>
      <w:pPr>
        <w:ind w:left="720" w:hanging="360"/>
      </w:pPr>
      <w:rPr>
        <w:rFonts w:ascii="Arial" w:hAnsi="Arial" w:cs="Arial" w:hint="default"/>
        <w:b/>
        <w:i w:val="0"/>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22707C1"/>
    <w:multiLevelType w:val="hybridMultilevel"/>
    <w:tmpl w:val="60B214C0"/>
    <w:lvl w:ilvl="0" w:tplc="0C0A0015">
      <w:start w:val="1"/>
      <w:numFmt w:val="upperLetter"/>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21">
    <w:nsid w:val="49481204"/>
    <w:multiLevelType w:val="multilevel"/>
    <w:tmpl w:val="C5920C9A"/>
    <w:lvl w:ilvl="0">
      <w:start w:val="1"/>
      <w:numFmt w:val="decimal"/>
      <w:lvlText w:val="%1."/>
      <w:lvlJc w:val="left"/>
      <w:pPr>
        <w:tabs>
          <w:tab w:val="num" w:pos="709"/>
        </w:tabs>
        <w:ind w:left="709" w:hanging="709"/>
      </w:pPr>
      <w:rPr>
        <w:rFonts w:ascii="Arial Negrita" w:hAnsi="Arial Negrita"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pStyle w:val="Ttulo3"/>
      <w:lvlText w:val="%1.%2.%3."/>
      <w:lvlJc w:val="left"/>
      <w:pPr>
        <w:tabs>
          <w:tab w:val="num" w:pos="1134"/>
        </w:tabs>
        <w:ind w:left="1134" w:hanging="1134"/>
      </w:pPr>
      <w:rPr>
        <w:rFonts w:hint="default"/>
        <w:b w:val="0"/>
        <w:i w:val="0"/>
        <w:caps w:val="0"/>
        <w:sz w:val="24"/>
        <w:szCs w:val="24"/>
      </w:rPr>
    </w:lvl>
    <w:lvl w:ilvl="3">
      <w:start w:val="1"/>
      <w:numFmt w:val="bullet"/>
      <w:lvlText w:val=""/>
      <w:lvlJc w:val="left"/>
      <w:pPr>
        <w:tabs>
          <w:tab w:val="num" w:pos="1080"/>
        </w:tabs>
        <w:ind w:left="1080" w:hanging="1080"/>
      </w:pPr>
      <w:rPr>
        <w:rFonts w:ascii="Symbol" w:hAnsi="Symbo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E4321CB"/>
    <w:multiLevelType w:val="hybridMultilevel"/>
    <w:tmpl w:val="12D6184C"/>
    <w:lvl w:ilvl="0" w:tplc="AD3671B4">
      <w:start w:val="1"/>
      <w:numFmt w:val="decimal"/>
      <w:lvlText w:val="%1."/>
      <w:lvlJc w:val="left"/>
      <w:pPr>
        <w:ind w:left="720" w:hanging="360"/>
      </w:pPr>
    </w:lvl>
    <w:lvl w:ilvl="1" w:tplc="A336F3E0">
      <w:start w:val="1"/>
      <w:numFmt w:val="lowerLetter"/>
      <w:lvlText w:val="%2."/>
      <w:lvlJc w:val="left"/>
      <w:pPr>
        <w:ind w:left="1440" w:hanging="360"/>
      </w:pPr>
    </w:lvl>
    <w:lvl w:ilvl="2" w:tplc="89482FCE">
      <w:start w:val="1"/>
      <w:numFmt w:val="lowerRoman"/>
      <w:lvlText w:val="%3."/>
      <w:lvlJc w:val="right"/>
      <w:pPr>
        <w:ind w:left="2160" w:hanging="180"/>
      </w:pPr>
    </w:lvl>
    <w:lvl w:ilvl="3" w:tplc="6E9AAB60">
      <w:start w:val="1"/>
      <w:numFmt w:val="decimal"/>
      <w:lvlText w:val="%4."/>
      <w:lvlJc w:val="left"/>
      <w:pPr>
        <w:ind w:left="2880" w:hanging="360"/>
      </w:pPr>
    </w:lvl>
    <w:lvl w:ilvl="4" w:tplc="ED5A13CA">
      <w:start w:val="1"/>
      <w:numFmt w:val="lowerLetter"/>
      <w:lvlText w:val="%5."/>
      <w:lvlJc w:val="left"/>
      <w:pPr>
        <w:ind w:left="3600" w:hanging="360"/>
      </w:pPr>
    </w:lvl>
    <w:lvl w:ilvl="5" w:tplc="A51811BE">
      <w:start w:val="1"/>
      <w:numFmt w:val="lowerRoman"/>
      <w:lvlText w:val="%6."/>
      <w:lvlJc w:val="right"/>
      <w:pPr>
        <w:ind w:left="4320" w:hanging="180"/>
      </w:pPr>
    </w:lvl>
    <w:lvl w:ilvl="6" w:tplc="FD68111C">
      <w:start w:val="1"/>
      <w:numFmt w:val="decimal"/>
      <w:lvlText w:val="%7."/>
      <w:lvlJc w:val="left"/>
      <w:pPr>
        <w:ind w:left="5040" w:hanging="360"/>
      </w:pPr>
    </w:lvl>
    <w:lvl w:ilvl="7" w:tplc="E5AC91A8">
      <w:start w:val="1"/>
      <w:numFmt w:val="lowerLetter"/>
      <w:lvlText w:val="%8."/>
      <w:lvlJc w:val="left"/>
      <w:pPr>
        <w:ind w:left="5760" w:hanging="360"/>
      </w:pPr>
    </w:lvl>
    <w:lvl w:ilvl="8" w:tplc="67E2CB2E">
      <w:start w:val="1"/>
      <w:numFmt w:val="lowerRoman"/>
      <w:lvlText w:val="%9."/>
      <w:lvlJc w:val="right"/>
      <w:pPr>
        <w:ind w:left="6480" w:hanging="180"/>
      </w:pPr>
    </w:lvl>
  </w:abstractNum>
  <w:abstractNum w:abstractNumId="23">
    <w:nsid w:val="4E805178"/>
    <w:multiLevelType w:val="multilevel"/>
    <w:tmpl w:val="00588848"/>
    <w:lvl w:ilvl="0">
      <w:start w:val="1"/>
      <w:numFmt w:val="bullet"/>
      <w:pStyle w:val="GenricoA3Enumeracin"/>
      <w:lvlText w:val=""/>
      <w:lvlJc w:val="left"/>
      <w:pPr>
        <w:tabs>
          <w:tab w:val="num" w:pos="340"/>
        </w:tabs>
        <w:ind w:left="340" w:hanging="340"/>
      </w:pPr>
      <w:rPr>
        <w:rFonts w:ascii="Symbol" w:hAnsi="Symbol" w:hint="default"/>
        <w:color w:val="auto"/>
      </w:rPr>
    </w:lvl>
    <w:lvl w:ilvl="1">
      <w:start w:val="1"/>
      <w:numFmt w:val="bullet"/>
      <w:lvlText w:val="–"/>
      <w:lvlJc w:val="left"/>
      <w:pPr>
        <w:tabs>
          <w:tab w:val="num" w:pos="340"/>
        </w:tabs>
        <w:ind w:left="851" w:hanging="511"/>
      </w:pPr>
      <w:rPr>
        <w:rFonts w:ascii="Verdana" w:hAnsi="Verdana" w:hint="default"/>
        <w:strike w:val="0"/>
        <w:dstrike w:val="0"/>
        <w:color w:val="auto"/>
        <w:sz w:val="20"/>
        <w:u w:val="none"/>
        <w:effect w:val="none"/>
      </w:rPr>
    </w:lvl>
    <w:lvl w:ilvl="2">
      <w:start w:val="1"/>
      <w:numFmt w:val="none"/>
      <w:lvlText w:val=""/>
      <w:lvlJc w:val="left"/>
      <w:pPr>
        <w:tabs>
          <w:tab w:val="num" w:pos="1080"/>
        </w:tabs>
        <w:ind w:left="1080" w:hanging="360"/>
      </w:pPr>
      <w:rPr>
        <w:rFonts w:cs="Times New Roman"/>
      </w:rPr>
    </w:lvl>
    <w:lvl w:ilvl="3">
      <w:start w:val="1"/>
      <w:numFmt w:val="none"/>
      <w:lvlText w:val=""/>
      <w:lvlJc w:val="left"/>
      <w:pPr>
        <w:tabs>
          <w:tab w:val="num" w:pos="1440"/>
        </w:tabs>
        <w:ind w:left="1440" w:hanging="360"/>
      </w:pPr>
      <w:rPr>
        <w:rFonts w:cs="Times New Roman"/>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24">
    <w:nsid w:val="4E9B60A0"/>
    <w:multiLevelType w:val="multilevel"/>
    <w:tmpl w:val="E514CC3A"/>
    <w:lvl w:ilvl="0">
      <w:start w:val="1"/>
      <w:numFmt w:val="decimal"/>
      <w:lvlText w:val="%1"/>
      <w:lvlJc w:val="left"/>
      <w:pPr>
        <w:tabs>
          <w:tab w:val="num" w:pos="1418"/>
        </w:tabs>
        <w:ind w:left="1418" w:hanging="709"/>
      </w:pPr>
      <w:rPr>
        <w:rFonts w:ascii="Times New Roman" w:hAnsi="Times New Roman" w:hint="default"/>
        <w:b/>
        <w:i w:val="0"/>
        <w:sz w:val="24"/>
      </w:rPr>
    </w:lvl>
    <w:lvl w:ilvl="1">
      <w:start w:val="1"/>
      <w:numFmt w:val="decimal"/>
      <w:lvlText w:val="%1.%2"/>
      <w:lvlJc w:val="left"/>
      <w:pPr>
        <w:tabs>
          <w:tab w:val="num" w:pos="1418"/>
        </w:tabs>
        <w:ind w:left="1418" w:hanging="709"/>
      </w:pPr>
      <w:rPr>
        <w:rFonts w:ascii="Times New Roman" w:hAnsi="Times New Roman" w:hint="default"/>
        <w:b/>
        <w:i w:val="0"/>
        <w:sz w:val="24"/>
      </w:rPr>
    </w:lvl>
    <w:lvl w:ilvl="2">
      <w:start w:val="1"/>
      <w:numFmt w:val="decimal"/>
      <w:lvlText w:val="%1.%2.%3"/>
      <w:lvlJc w:val="left"/>
      <w:pPr>
        <w:tabs>
          <w:tab w:val="num" w:pos="1418"/>
        </w:tabs>
        <w:ind w:left="1418" w:hanging="709"/>
      </w:pPr>
      <w:rPr>
        <w:rFonts w:ascii="Times New Roman" w:hAnsi="Times New Roman" w:hint="default"/>
        <w:b/>
        <w:i w:val="0"/>
        <w:sz w:val="24"/>
      </w:rPr>
    </w:lvl>
    <w:lvl w:ilvl="3">
      <w:start w:val="1"/>
      <w:numFmt w:val="decimal"/>
      <w:lvlText w:val="%1.%2.%3.%4"/>
      <w:lvlJc w:val="left"/>
      <w:pPr>
        <w:tabs>
          <w:tab w:val="num" w:pos="1418"/>
        </w:tabs>
        <w:ind w:left="1418" w:hanging="709"/>
      </w:pPr>
      <w:rPr>
        <w:rFonts w:ascii="Times New Roman" w:hAnsi="Times New Roman" w:hint="default"/>
        <w:b/>
        <w:i w:val="0"/>
        <w:sz w:val="24"/>
      </w:rPr>
    </w:lvl>
    <w:lvl w:ilvl="4">
      <w:start w:val="1"/>
      <w:numFmt w:val="decimal"/>
      <w:pStyle w:val="Ttulo5"/>
      <w:lvlText w:val="%1.%2.%3.%4.%5"/>
      <w:lvlJc w:val="left"/>
      <w:pPr>
        <w:tabs>
          <w:tab w:val="num" w:pos="1717"/>
        </w:tabs>
        <w:ind w:left="1717" w:hanging="1008"/>
      </w:pPr>
      <w:rPr>
        <w:rFonts w:hint="default"/>
      </w:rPr>
    </w:lvl>
    <w:lvl w:ilvl="5">
      <w:start w:val="1"/>
      <w:numFmt w:val="decimal"/>
      <w:pStyle w:val="Ttulo6"/>
      <w:lvlText w:val="%1.%2.%3.%4.%5.%6"/>
      <w:lvlJc w:val="left"/>
      <w:pPr>
        <w:tabs>
          <w:tab w:val="num" w:pos="1861"/>
        </w:tabs>
        <w:ind w:left="1861" w:hanging="1152"/>
      </w:pPr>
      <w:rPr>
        <w:rFonts w:hint="default"/>
      </w:rPr>
    </w:lvl>
    <w:lvl w:ilvl="6">
      <w:start w:val="1"/>
      <w:numFmt w:val="decimal"/>
      <w:pStyle w:val="Ttulo7"/>
      <w:lvlText w:val="%1.%2.%3.%4.%5.%6.%7"/>
      <w:lvlJc w:val="left"/>
      <w:pPr>
        <w:tabs>
          <w:tab w:val="num" w:pos="2005"/>
        </w:tabs>
        <w:ind w:left="2005" w:hanging="1296"/>
      </w:pPr>
      <w:rPr>
        <w:rFonts w:hint="default"/>
      </w:rPr>
    </w:lvl>
    <w:lvl w:ilvl="7">
      <w:start w:val="1"/>
      <w:numFmt w:val="decimal"/>
      <w:pStyle w:val="Ttulo8"/>
      <w:lvlText w:val="%1.%2.%3.%4.%5.%6.%7.%8"/>
      <w:lvlJc w:val="left"/>
      <w:pPr>
        <w:tabs>
          <w:tab w:val="num" w:pos="2149"/>
        </w:tabs>
        <w:ind w:left="2149" w:hanging="1440"/>
      </w:pPr>
      <w:rPr>
        <w:rFonts w:hint="default"/>
      </w:rPr>
    </w:lvl>
    <w:lvl w:ilvl="8">
      <w:start w:val="1"/>
      <w:numFmt w:val="decimal"/>
      <w:pStyle w:val="Ttulo9"/>
      <w:lvlText w:val="%1.%2.%3.%4.%5.%6.%7.%8.%9"/>
      <w:lvlJc w:val="left"/>
      <w:pPr>
        <w:tabs>
          <w:tab w:val="num" w:pos="2293"/>
        </w:tabs>
        <w:ind w:left="2293" w:hanging="1584"/>
      </w:pPr>
      <w:rPr>
        <w:rFonts w:hint="default"/>
      </w:rPr>
    </w:lvl>
  </w:abstractNum>
  <w:abstractNum w:abstractNumId="25">
    <w:nsid w:val="52F96DA9"/>
    <w:multiLevelType w:val="hybridMultilevel"/>
    <w:tmpl w:val="C63C6B18"/>
    <w:lvl w:ilvl="0" w:tplc="4D52DA0C">
      <w:start w:val="1"/>
      <w:numFmt w:val="lowerLetter"/>
      <w:lvlText w:val="%1)"/>
      <w:lvlJc w:val="left"/>
      <w:pPr>
        <w:tabs>
          <w:tab w:val="num" w:pos="720"/>
        </w:tabs>
        <w:ind w:left="720" w:hanging="360"/>
      </w:pPr>
    </w:lvl>
    <w:lvl w:ilvl="1" w:tplc="8EA2716E">
      <w:start w:val="1"/>
      <w:numFmt w:val="bullet"/>
      <w:lvlText w:val="o"/>
      <w:lvlJc w:val="left"/>
      <w:pPr>
        <w:tabs>
          <w:tab w:val="num" w:pos="1440"/>
        </w:tabs>
        <w:ind w:left="1440" w:hanging="360"/>
      </w:pPr>
      <w:rPr>
        <w:rFonts w:ascii="Courier New" w:hAnsi="Courier New" w:cs="Times New Roman" w:hint="default"/>
      </w:rPr>
    </w:lvl>
    <w:lvl w:ilvl="2" w:tplc="22C8BB40">
      <w:start w:val="1"/>
      <w:numFmt w:val="bullet"/>
      <w:lvlText w:val=""/>
      <w:lvlJc w:val="left"/>
      <w:pPr>
        <w:tabs>
          <w:tab w:val="num" w:pos="2160"/>
        </w:tabs>
        <w:ind w:left="2160" w:hanging="360"/>
      </w:pPr>
      <w:rPr>
        <w:rFonts w:ascii="Wingdings" w:hAnsi="Wingdings" w:hint="default"/>
      </w:rPr>
    </w:lvl>
    <w:lvl w:ilvl="3" w:tplc="1C1255FE">
      <w:start w:val="1"/>
      <w:numFmt w:val="bullet"/>
      <w:lvlText w:val=""/>
      <w:lvlJc w:val="left"/>
      <w:pPr>
        <w:tabs>
          <w:tab w:val="num" w:pos="2880"/>
        </w:tabs>
        <w:ind w:left="2880" w:hanging="360"/>
      </w:pPr>
      <w:rPr>
        <w:rFonts w:ascii="Symbol" w:hAnsi="Symbol" w:hint="default"/>
      </w:rPr>
    </w:lvl>
    <w:lvl w:ilvl="4" w:tplc="4400FEA8">
      <w:start w:val="1"/>
      <w:numFmt w:val="bullet"/>
      <w:lvlText w:val="o"/>
      <w:lvlJc w:val="left"/>
      <w:pPr>
        <w:tabs>
          <w:tab w:val="num" w:pos="3600"/>
        </w:tabs>
        <w:ind w:left="3600" w:hanging="360"/>
      </w:pPr>
      <w:rPr>
        <w:rFonts w:ascii="Courier New" w:hAnsi="Courier New" w:cs="Times New Roman" w:hint="default"/>
      </w:rPr>
    </w:lvl>
    <w:lvl w:ilvl="5" w:tplc="40EADBDA">
      <w:start w:val="1"/>
      <w:numFmt w:val="bullet"/>
      <w:lvlText w:val=""/>
      <w:lvlJc w:val="left"/>
      <w:pPr>
        <w:tabs>
          <w:tab w:val="num" w:pos="4320"/>
        </w:tabs>
        <w:ind w:left="4320" w:hanging="360"/>
      </w:pPr>
      <w:rPr>
        <w:rFonts w:ascii="Wingdings" w:hAnsi="Wingdings" w:hint="default"/>
      </w:rPr>
    </w:lvl>
    <w:lvl w:ilvl="6" w:tplc="F2541B9C">
      <w:start w:val="1"/>
      <w:numFmt w:val="bullet"/>
      <w:lvlText w:val=""/>
      <w:lvlJc w:val="left"/>
      <w:pPr>
        <w:tabs>
          <w:tab w:val="num" w:pos="5040"/>
        </w:tabs>
        <w:ind w:left="5040" w:hanging="360"/>
      </w:pPr>
      <w:rPr>
        <w:rFonts w:ascii="Symbol" w:hAnsi="Symbol" w:hint="default"/>
      </w:rPr>
    </w:lvl>
    <w:lvl w:ilvl="7" w:tplc="B2863D4A">
      <w:start w:val="1"/>
      <w:numFmt w:val="bullet"/>
      <w:lvlText w:val="o"/>
      <w:lvlJc w:val="left"/>
      <w:pPr>
        <w:tabs>
          <w:tab w:val="num" w:pos="5760"/>
        </w:tabs>
        <w:ind w:left="5760" w:hanging="360"/>
      </w:pPr>
      <w:rPr>
        <w:rFonts w:ascii="Courier New" w:hAnsi="Courier New" w:cs="Times New Roman" w:hint="default"/>
      </w:rPr>
    </w:lvl>
    <w:lvl w:ilvl="8" w:tplc="8D48993E">
      <w:start w:val="1"/>
      <w:numFmt w:val="bullet"/>
      <w:lvlText w:val=""/>
      <w:lvlJc w:val="left"/>
      <w:pPr>
        <w:tabs>
          <w:tab w:val="num" w:pos="6480"/>
        </w:tabs>
        <w:ind w:left="6480" w:hanging="360"/>
      </w:pPr>
      <w:rPr>
        <w:rFonts w:ascii="Wingdings" w:hAnsi="Wingdings" w:hint="default"/>
      </w:rPr>
    </w:lvl>
  </w:abstractNum>
  <w:abstractNum w:abstractNumId="26">
    <w:nsid w:val="57F2160A"/>
    <w:multiLevelType w:val="hybridMultilevel"/>
    <w:tmpl w:val="962EE622"/>
    <w:lvl w:ilvl="0" w:tplc="6EFE8228">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nsid w:val="597D5729"/>
    <w:multiLevelType w:val="hybridMultilevel"/>
    <w:tmpl w:val="12D6184C"/>
    <w:lvl w:ilvl="0" w:tplc="DD3CC672">
      <w:start w:val="1"/>
      <w:numFmt w:val="decimal"/>
      <w:lvlText w:val="%1."/>
      <w:lvlJc w:val="left"/>
      <w:pPr>
        <w:ind w:left="720" w:hanging="360"/>
      </w:pPr>
    </w:lvl>
    <w:lvl w:ilvl="1" w:tplc="AC385DFE">
      <w:start w:val="1"/>
      <w:numFmt w:val="lowerLetter"/>
      <w:lvlText w:val="%2."/>
      <w:lvlJc w:val="left"/>
      <w:pPr>
        <w:ind w:left="1440" w:hanging="360"/>
      </w:pPr>
    </w:lvl>
    <w:lvl w:ilvl="2" w:tplc="6AACB992">
      <w:start w:val="1"/>
      <w:numFmt w:val="lowerRoman"/>
      <w:lvlText w:val="%3."/>
      <w:lvlJc w:val="right"/>
      <w:pPr>
        <w:ind w:left="2160" w:hanging="180"/>
      </w:pPr>
    </w:lvl>
    <w:lvl w:ilvl="3" w:tplc="B03A0E8A">
      <w:start w:val="1"/>
      <w:numFmt w:val="decimal"/>
      <w:lvlText w:val="%4."/>
      <w:lvlJc w:val="left"/>
      <w:pPr>
        <w:ind w:left="2880" w:hanging="360"/>
      </w:pPr>
    </w:lvl>
    <w:lvl w:ilvl="4" w:tplc="1842E028">
      <w:start w:val="1"/>
      <w:numFmt w:val="lowerLetter"/>
      <w:lvlText w:val="%5."/>
      <w:lvlJc w:val="left"/>
      <w:pPr>
        <w:ind w:left="3600" w:hanging="360"/>
      </w:pPr>
    </w:lvl>
    <w:lvl w:ilvl="5" w:tplc="1E6C699C">
      <w:start w:val="1"/>
      <w:numFmt w:val="lowerRoman"/>
      <w:lvlText w:val="%6."/>
      <w:lvlJc w:val="right"/>
      <w:pPr>
        <w:ind w:left="4320" w:hanging="180"/>
      </w:pPr>
    </w:lvl>
    <w:lvl w:ilvl="6" w:tplc="F9586102">
      <w:start w:val="1"/>
      <w:numFmt w:val="decimal"/>
      <w:lvlText w:val="%7."/>
      <w:lvlJc w:val="left"/>
      <w:pPr>
        <w:ind w:left="5040" w:hanging="360"/>
      </w:pPr>
    </w:lvl>
    <w:lvl w:ilvl="7" w:tplc="DEF4B58E">
      <w:start w:val="1"/>
      <w:numFmt w:val="lowerLetter"/>
      <w:lvlText w:val="%8."/>
      <w:lvlJc w:val="left"/>
      <w:pPr>
        <w:ind w:left="5760" w:hanging="360"/>
      </w:pPr>
    </w:lvl>
    <w:lvl w:ilvl="8" w:tplc="BA282182">
      <w:start w:val="1"/>
      <w:numFmt w:val="lowerRoman"/>
      <w:lvlText w:val="%9."/>
      <w:lvlJc w:val="right"/>
      <w:pPr>
        <w:ind w:left="6480" w:hanging="180"/>
      </w:pPr>
    </w:lvl>
  </w:abstractNum>
  <w:abstractNum w:abstractNumId="28">
    <w:nsid w:val="5C2831F5"/>
    <w:multiLevelType w:val="hybridMultilevel"/>
    <w:tmpl w:val="3260D40A"/>
    <w:lvl w:ilvl="0" w:tplc="4FA6F3DA">
      <w:start w:val="1"/>
      <w:numFmt w:val="upperLetter"/>
      <w:lvlText w:val="%1)"/>
      <w:lvlJc w:val="left"/>
      <w:pPr>
        <w:ind w:left="720" w:hanging="360"/>
      </w:pPr>
      <w:rPr>
        <w:b w:val="0"/>
      </w:rPr>
    </w:lvl>
    <w:lvl w:ilvl="1" w:tplc="A55AEDFC">
      <w:start w:val="1"/>
      <w:numFmt w:val="lowerLetter"/>
      <w:lvlText w:val="%2."/>
      <w:lvlJc w:val="left"/>
      <w:pPr>
        <w:ind w:left="1440" w:hanging="360"/>
      </w:pPr>
    </w:lvl>
    <w:lvl w:ilvl="2" w:tplc="6428C074">
      <w:start w:val="1"/>
      <w:numFmt w:val="lowerRoman"/>
      <w:lvlText w:val="%3."/>
      <w:lvlJc w:val="right"/>
      <w:pPr>
        <w:ind w:left="2160" w:hanging="180"/>
      </w:pPr>
    </w:lvl>
    <w:lvl w:ilvl="3" w:tplc="D8A0F408">
      <w:start w:val="1"/>
      <w:numFmt w:val="decimal"/>
      <w:lvlText w:val="%4."/>
      <w:lvlJc w:val="left"/>
      <w:pPr>
        <w:ind w:left="2880" w:hanging="360"/>
      </w:pPr>
    </w:lvl>
    <w:lvl w:ilvl="4" w:tplc="935E26F0">
      <w:start w:val="1"/>
      <w:numFmt w:val="lowerLetter"/>
      <w:lvlText w:val="%5."/>
      <w:lvlJc w:val="left"/>
      <w:pPr>
        <w:ind w:left="3600" w:hanging="360"/>
      </w:pPr>
    </w:lvl>
    <w:lvl w:ilvl="5" w:tplc="4F280934">
      <w:start w:val="1"/>
      <w:numFmt w:val="lowerRoman"/>
      <w:lvlText w:val="%6."/>
      <w:lvlJc w:val="right"/>
      <w:pPr>
        <w:ind w:left="4320" w:hanging="180"/>
      </w:pPr>
    </w:lvl>
    <w:lvl w:ilvl="6" w:tplc="534277BC">
      <w:start w:val="1"/>
      <w:numFmt w:val="decimal"/>
      <w:lvlText w:val="%7."/>
      <w:lvlJc w:val="left"/>
      <w:pPr>
        <w:ind w:left="5040" w:hanging="360"/>
      </w:pPr>
    </w:lvl>
    <w:lvl w:ilvl="7" w:tplc="FEB03146">
      <w:start w:val="1"/>
      <w:numFmt w:val="lowerLetter"/>
      <w:lvlText w:val="%8."/>
      <w:lvlJc w:val="left"/>
      <w:pPr>
        <w:ind w:left="5760" w:hanging="360"/>
      </w:pPr>
    </w:lvl>
    <w:lvl w:ilvl="8" w:tplc="93C44E82">
      <w:start w:val="1"/>
      <w:numFmt w:val="lowerRoman"/>
      <w:lvlText w:val="%9."/>
      <w:lvlJc w:val="right"/>
      <w:pPr>
        <w:ind w:left="6480" w:hanging="180"/>
      </w:pPr>
    </w:lvl>
  </w:abstractNum>
  <w:abstractNum w:abstractNumId="29">
    <w:nsid w:val="60420227"/>
    <w:multiLevelType w:val="hybridMultilevel"/>
    <w:tmpl w:val="231433AE"/>
    <w:lvl w:ilvl="0" w:tplc="A320816A">
      <w:numFmt w:val="bullet"/>
      <w:lvlText w:val="-"/>
      <w:lvlJc w:val="left"/>
      <w:pPr>
        <w:ind w:left="1551" w:hanging="360"/>
      </w:pPr>
      <w:rPr>
        <w:rFonts w:ascii="Arial" w:eastAsia="Times New Roman" w:hAnsi="Arial" w:cs="Arial" w:hint="default"/>
      </w:rPr>
    </w:lvl>
    <w:lvl w:ilvl="1" w:tplc="040A0003">
      <w:start w:val="1"/>
      <w:numFmt w:val="bullet"/>
      <w:lvlText w:val="o"/>
      <w:lvlJc w:val="left"/>
      <w:pPr>
        <w:ind w:left="2271" w:hanging="360"/>
      </w:pPr>
      <w:rPr>
        <w:rFonts w:ascii="Courier New" w:hAnsi="Courier New" w:cs="Courier New" w:hint="default"/>
      </w:rPr>
    </w:lvl>
    <w:lvl w:ilvl="2" w:tplc="040A0005">
      <w:start w:val="1"/>
      <w:numFmt w:val="bullet"/>
      <w:lvlText w:val=""/>
      <w:lvlJc w:val="left"/>
      <w:pPr>
        <w:ind w:left="2991" w:hanging="360"/>
      </w:pPr>
      <w:rPr>
        <w:rFonts w:ascii="Wingdings" w:hAnsi="Wingdings" w:hint="default"/>
      </w:rPr>
    </w:lvl>
    <w:lvl w:ilvl="3" w:tplc="040A0001">
      <w:start w:val="1"/>
      <w:numFmt w:val="bullet"/>
      <w:lvlText w:val=""/>
      <w:lvlJc w:val="left"/>
      <w:pPr>
        <w:ind w:left="3711" w:hanging="360"/>
      </w:pPr>
      <w:rPr>
        <w:rFonts w:ascii="Symbol" w:hAnsi="Symbol" w:hint="default"/>
      </w:rPr>
    </w:lvl>
    <w:lvl w:ilvl="4" w:tplc="040A0003">
      <w:start w:val="1"/>
      <w:numFmt w:val="bullet"/>
      <w:lvlText w:val="o"/>
      <w:lvlJc w:val="left"/>
      <w:pPr>
        <w:ind w:left="4431" w:hanging="360"/>
      </w:pPr>
      <w:rPr>
        <w:rFonts w:ascii="Courier New" w:hAnsi="Courier New" w:cs="Courier New" w:hint="default"/>
      </w:rPr>
    </w:lvl>
    <w:lvl w:ilvl="5" w:tplc="040A0005">
      <w:start w:val="1"/>
      <w:numFmt w:val="bullet"/>
      <w:lvlText w:val=""/>
      <w:lvlJc w:val="left"/>
      <w:pPr>
        <w:ind w:left="5151" w:hanging="360"/>
      </w:pPr>
      <w:rPr>
        <w:rFonts w:ascii="Wingdings" w:hAnsi="Wingdings" w:hint="default"/>
      </w:rPr>
    </w:lvl>
    <w:lvl w:ilvl="6" w:tplc="040A0001">
      <w:start w:val="1"/>
      <w:numFmt w:val="bullet"/>
      <w:lvlText w:val=""/>
      <w:lvlJc w:val="left"/>
      <w:pPr>
        <w:ind w:left="5871" w:hanging="360"/>
      </w:pPr>
      <w:rPr>
        <w:rFonts w:ascii="Symbol" w:hAnsi="Symbol" w:hint="default"/>
      </w:rPr>
    </w:lvl>
    <w:lvl w:ilvl="7" w:tplc="040A0003">
      <w:start w:val="1"/>
      <w:numFmt w:val="bullet"/>
      <w:lvlText w:val="o"/>
      <w:lvlJc w:val="left"/>
      <w:pPr>
        <w:ind w:left="6591" w:hanging="360"/>
      </w:pPr>
      <w:rPr>
        <w:rFonts w:ascii="Courier New" w:hAnsi="Courier New" w:cs="Courier New" w:hint="default"/>
      </w:rPr>
    </w:lvl>
    <w:lvl w:ilvl="8" w:tplc="040A0005">
      <w:start w:val="1"/>
      <w:numFmt w:val="bullet"/>
      <w:lvlText w:val=""/>
      <w:lvlJc w:val="left"/>
      <w:pPr>
        <w:ind w:left="7311" w:hanging="360"/>
      </w:pPr>
      <w:rPr>
        <w:rFonts w:ascii="Wingdings" w:hAnsi="Wingdings" w:hint="default"/>
      </w:rPr>
    </w:lvl>
  </w:abstractNum>
  <w:abstractNum w:abstractNumId="30">
    <w:nsid w:val="68B83377"/>
    <w:multiLevelType w:val="hybridMultilevel"/>
    <w:tmpl w:val="EE14234E"/>
    <w:lvl w:ilvl="0" w:tplc="AAA4D178">
      <w:start w:val="1"/>
      <w:numFmt w:val="bullet"/>
      <w:lvlText w:val=""/>
      <w:lvlJc w:val="left"/>
      <w:pPr>
        <w:ind w:left="720" w:hanging="360"/>
      </w:pPr>
      <w:rPr>
        <w:rFonts w:ascii="Symbol" w:hAnsi="Symbol" w:hint="default"/>
      </w:rPr>
    </w:lvl>
    <w:lvl w:ilvl="1" w:tplc="9912E0E2">
      <w:start w:val="1"/>
      <w:numFmt w:val="bullet"/>
      <w:lvlText w:val="o"/>
      <w:lvlJc w:val="left"/>
      <w:pPr>
        <w:ind w:left="1440" w:hanging="360"/>
      </w:pPr>
      <w:rPr>
        <w:rFonts w:ascii="Courier New" w:hAnsi="Courier New" w:cs="Courier New" w:hint="default"/>
      </w:rPr>
    </w:lvl>
    <w:lvl w:ilvl="2" w:tplc="FB92CC52">
      <w:start w:val="1"/>
      <w:numFmt w:val="bullet"/>
      <w:lvlText w:val=""/>
      <w:lvlJc w:val="left"/>
      <w:pPr>
        <w:ind w:left="2160" w:hanging="360"/>
      </w:pPr>
      <w:rPr>
        <w:rFonts w:ascii="Wingdings" w:hAnsi="Wingdings" w:hint="default"/>
      </w:rPr>
    </w:lvl>
    <w:lvl w:ilvl="3" w:tplc="073A83BC">
      <w:start w:val="1"/>
      <w:numFmt w:val="bullet"/>
      <w:lvlText w:val=""/>
      <w:lvlJc w:val="left"/>
      <w:pPr>
        <w:ind w:left="2880" w:hanging="360"/>
      </w:pPr>
      <w:rPr>
        <w:rFonts w:ascii="Symbol" w:hAnsi="Symbol" w:hint="default"/>
      </w:rPr>
    </w:lvl>
    <w:lvl w:ilvl="4" w:tplc="5AAE2296">
      <w:start w:val="1"/>
      <w:numFmt w:val="bullet"/>
      <w:lvlText w:val="o"/>
      <w:lvlJc w:val="left"/>
      <w:pPr>
        <w:ind w:left="3600" w:hanging="360"/>
      </w:pPr>
      <w:rPr>
        <w:rFonts w:ascii="Courier New" w:hAnsi="Courier New" w:cs="Courier New" w:hint="default"/>
      </w:rPr>
    </w:lvl>
    <w:lvl w:ilvl="5" w:tplc="4E8A5774">
      <w:start w:val="1"/>
      <w:numFmt w:val="bullet"/>
      <w:lvlText w:val=""/>
      <w:lvlJc w:val="left"/>
      <w:pPr>
        <w:ind w:left="4320" w:hanging="360"/>
      </w:pPr>
      <w:rPr>
        <w:rFonts w:ascii="Wingdings" w:hAnsi="Wingdings" w:hint="default"/>
      </w:rPr>
    </w:lvl>
    <w:lvl w:ilvl="6" w:tplc="7DFA7C44">
      <w:start w:val="1"/>
      <w:numFmt w:val="bullet"/>
      <w:lvlText w:val=""/>
      <w:lvlJc w:val="left"/>
      <w:pPr>
        <w:ind w:left="5040" w:hanging="360"/>
      </w:pPr>
      <w:rPr>
        <w:rFonts w:ascii="Symbol" w:hAnsi="Symbol" w:hint="default"/>
      </w:rPr>
    </w:lvl>
    <w:lvl w:ilvl="7" w:tplc="CE0AF6E2">
      <w:start w:val="1"/>
      <w:numFmt w:val="bullet"/>
      <w:lvlText w:val="o"/>
      <w:lvlJc w:val="left"/>
      <w:pPr>
        <w:ind w:left="5760" w:hanging="360"/>
      </w:pPr>
      <w:rPr>
        <w:rFonts w:ascii="Courier New" w:hAnsi="Courier New" w:cs="Courier New" w:hint="default"/>
      </w:rPr>
    </w:lvl>
    <w:lvl w:ilvl="8" w:tplc="E782EEA8">
      <w:start w:val="1"/>
      <w:numFmt w:val="bullet"/>
      <w:lvlText w:val=""/>
      <w:lvlJc w:val="left"/>
      <w:pPr>
        <w:ind w:left="6480" w:hanging="360"/>
      </w:pPr>
      <w:rPr>
        <w:rFonts w:ascii="Wingdings" w:hAnsi="Wingdings" w:hint="default"/>
      </w:rPr>
    </w:lvl>
  </w:abstractNum>
  <w:abstractNum w:abstractNumId="31">
    <w:nsid w:val="6966422A"/>
    <w:multiLevelType w:val="hybridMultilevel"/>
    <w:tmpl w:val="E8E88CA2"/>
    <w:lvl w:ilvl="0" w:tplc="0C00CF64">
      <w:start w:val="1"/>
      <w:numFmt w:val="bullet"/>
      <w:lvlText w:val=""/>
      <w:lvlJc w:val="left"/>
      <w:pPr>
        <w:ind w:left="720" w:hanging="360"/>
      </w:pPr>
      <w:rPr>
        <w:rFonts w:ascii="Symbol" w:hAnsi="Symbol" w:hint="default"/>
      </w:rPr>
    </w:lvl>
    <w:lvl w:ilvl="1" w:tplc="CDA4A91C">
      <w:start w:val="1"/>
      <w:numFmt w:val="bullet"/>
      <w:lvlText w:val="o"/>
      <w:lvlJc w:val="left"/>
      <w:pPr>
        <w:ind w:left="1440" w:hanging="360"/>
      </w:pPr>
      <w:rPr>
        <w:rFonts w:ascii="Courier New" w:hAnsi="Courier New" w:cs="Courier New" w:hint="default"/>
      </w:rPr>
    </w:lvl>
    <w:lvl w:ilvl="2" w:tplc="374CDDD4">
      <w:start w:val="1"/>
      <w:numFmt w:val="bullet"/>
      <w:lvlText w:val=""/>
      <w:lvlJc w:val="left"/>
      <w:pPr>
        <w:ind w:left="2160" w:hanging="360"/>
      </w:pPr>
      <w:rPr>
        <w:rFonts w:ascii="Wingdings" w:hAnsi="Wingdings" w:hint="default"/>
      </w:rPr>
    </w:lvl>
    <w:lvl w:ilvl="3" w:tplc="AC7EC7A0">
      <w:start w:val="1"/>
      <w:numFmt w:val="bullet"/>
      <w:lvlText w:val=""/>
      <w:lvlJc w:val="left"/>
      <w:pPr>
        <w:ind w:left="2880" w:hanging="360"/>
      </w:pPr>
      <w:rPr>
        <w:rFonts w:ascii="Symbol" w:hAnsi="Symbol" w:hint="default"/>
      </w:rPr>
    </w:lvl>
    <w:lvl w:ilvl="4" w:tplc="038AFF54">
      <w:start w:val="1"/>
      <w:numFmt w:val="bullet"/>
      <w:lvlText w:val="o"/>
      <w:lvlJc w:val="left"/>
      <w:pPr>
        <w:ind w:left="3600" w:hanging="360"/>
      </w:pPr>
      <w:rPr>
        <w:rFonts w:ascii="Courier New" w:hAnsi="Courier New" w:cs="Courier New" w:hint="default"/>
      </w:rPr>
    </w:lvl>
    <w:lvl w:ilvl="5" w:tplc="E11C696A">
      <w:start w:val="1"/>
      <w:numFmt w:val="bullet"/>
      <w:lvlText w:val=""/>
      <w:lvlJc w:val="left"/>
      <w:pPr>
        <w:ind w:left="4320" w:hanging="360"/>
      </w:pPr>
      <w:rPr>
        <w:rFonts w:ascii="Wingdings" w:hAnsi="Wingdings" w:hint="default"/>
      </w:rPr>
    </w:lvl>
    <w:lvl w:ilvl="6" w:tplc="64D256C4">
      <w:start w:val="1"/>
      <w:numFmt w:val="bullet"/>
      <w:lvlText w:val=""/>
      <w:lvlJc w:val="left"/>
      <w:pPr>
        <w:ind w:left="5040" w:hanging="360"/>
      </w:pPr>
      <w:rPr>
        <w:rFonts w:ascii="Symbol" w:hAnsi="Symbol" w:hint="default"/>
      </w:rPr>
    </w:lvl>
    <w:lvl w:ilvl="7" w:tplc="1BBEC002">
      <w:start w:val="1"/>
      <w:numFmt w:val="bullet"/>
      <w:lvlText w:val="o"/>
      <w:lvlJc w:val="left"/>
      <w:pPr>
        <w:ind w:left="5760" w:hanging="360"/>
      </w:pPr>
      <w:rPr>
        <w:rFonts w:ascii="Courier New" w:hAnsi="Courier New" w:cs="Courier New" w:hint="default"/>
      </w:rPr>
    </w:lvl>
    <w:lvl w:ilvl="8" w:tplc="B23AEA6A">
      <w:start w:val="1"/>
      <w:numFmt w:val="bullet"/>
      <w:lvlText w:val=""/>
      <w:lvlJc w:val="left"/>
      <w:pPr>
        <w:ind w:left="6480" w:hanging="360"/>
      </w:pPr>
      <w:rPr>
        <w:rFonts w:ascii="Wingdings" w:hAnsi="Wingdings" w:hint="default"/>
      </w:rPr>
    </w:lvl>
  </w:abstractNum>
  <w:abstractNum w:abstractNumId="32">
    <w:nsid w:val="732F220B"/>
    <w:multiLevelType w:val="hybridMultilevel"/>
    <w:tmpl w:val="B0EE3C66"/>
    <w:lvl w:ilvl="0" w:tplc="6EFE8228">
      <w:start w:val="550"/>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3">
    <w:nsid w:val="7433200B"/>
    <w:multiLevelType w:val="hybridMultilevel"/>
    <w:tmpl w:val="12D6184C"/>
    <w:lvl w:ilvl="0" w:tplc="2A7C5ECC">
      <w:start w:val="1"/>
      <w:numFmt w:val="decimal"/>
      <w:lvlText w:val="%1."/>
      <w:lvlJc w:val="left"/>
      <w:pPr>
        <w:ind w:left="720" w:hanging="360"/>
      </w:pPr>
    </w:lvl>
    <w:lvl w:ilvl="1" w:tplc="28627B4A">
      <w:start w:val="1"/>
      <w:numFmt w:val="lowerLetter"/>
      <w:lvlText w:val="%2."/>
      <w:lvlJc w:val="left"/>
      <w:pPr>
        <w:ind w:left="1440" w:hanging="360"/>
      </w:pPr>
    </w:lvl>
    <w:lvl w:ilvl="2" w:tplc="69008D52">
      <w:start w:val="1"/>
      <w:numFmt w:val="lowerRoman"/>
      <w:lvlText w:val="%3."/>
      <w:lvlJc w:val="right"/>
      <w:pPr>
        <w:ind w:left="2160" w:hanging="180"/>
      </w:pPr>
    </w:lvl>
    <w:lvl w:ilvl="3" w:tplc="E4926C32">
      <w:start w:val="1"/>
      <w:numFmt w:val="decimal"/>
      <w:lvlText w:val="%4."/>
      <w:lvlJc w:val="left"/>
      <w:pPr>
        <w:ind w:left="2880" w:hanging="360"/>
      </w:pPr>
    </w:lvl>
    <w:lvl w:ilvl="4" w:tplc="406CD2DA">
      <w:start w:val="1"/>
      <w:numFmt w:val="lowerLetter"/>
      <w:lvlText w:val="%5."/>
      <w:lvlJc w:val="left"/>
      <w:pPr>
        <w:ind w:left="3600" w:hanging="360"/>
      </w:pPr>
    </w:lvl>
    <w:lvl w:ilvl="5" w:tplc="6E925FAA">
      <w:start w:val="1"/>
      <w:numFmt w:val="lowerRoman"/>
      <w:lvlText w:val="%6."/>
      <w:lvlJc w:val="right"/>
      <w:pPr>
        <w:ind w:left="4320" w:hanging="180"/>
      </w:pPr>
    </w:lvl>
    <w:lvl w:ilvl="6" w:tplc="7C90079C">
      <w:start w:val="1"/>
      <w:numFmt w:val="decimal"/>
      <w:lvlText w:val="%7."/>
      <w:lvlJc w:val="left"/>
      <w:pPr>
        <w:ind w:left="5040" w:hanging="360"/>
      </w:pPr>
    </w:lvl>
    <w:lvl w:ilvl="7" w:tplc="6BE8FE06">
      <w:start w:val="1"/>
      <w:numFmt w:val="lowerLetter"/>
      <w:lvlText w:val="%8."/>
      <w:lvlJc w:val="left"/>
      <w:pPr>
        <w:ind w:left="5760" w:hanging="360"/>
      </w:pPr>
    </w:lvl>
    <w:lvl w:ilvl="8" w:tplc="B44AE898">
      <w:start w:val="1"/>
      <w:numFmt w:val="lowerRoman"/>
      <w:lvlText w:val="%9."/>
      <w:lvlJc w:val="right"/>
      <w:pPr>
        <w:ind w:left="6480" w:hanging="180"/>
      </w:pPr>
    </w:lvl>
  </w:abstractNum>
  <w:abstractNum w:abstractNumId="34">
    <w:nsid w:val="74E71F6C"/>
    <w:multiLevelType w:val="hybridMultilevel"/>
    <w:tmpl w:val="54ACC772"/>
    <w:lvl w:ilvl="0" w:tplc="84DA096A">
      <w:start w:val="1"/>
      <w:numFmt w:val="bullet"/>
      <w:lvlText w:val=""/>
      <w:lvlJc w:val="left"/>
      <w:pPr>
        <w:ind w:left="720" w:hanging="360"/>
      </w:pPr>
      <w:rPr>
        <w:rFonts w:ascii="Symbol" w:hAnsi="Symbol" w:hint="default"/>
      </w:rPr>
    </w:lvl>
    <w:lvl w:ilvl="1" w:tplc="0C0A0005">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nsid w:val="77D15705"/>
    <w:multiLevelType w:val="hybridMultilevel"/>
    <w:tmpl w:val="12D6184C"/>
    <w:lvl w:ilvl="0" w:tplc="5B70314C">
      <w:start w:val="1"/>
      <w:numFmt w:val="decimal"/>
      <w:lvlText w:val="%1."/>
      <w:lvlJc w:val="left"/>
      <w:pPr>
        <w:ind w:left="720" w:hanging="360"/>
      </w:pPr>
    </w:lvl>
    <w:lvl w:ilvl="1" w:tplc="AA8667F6">
      <w:start w:val="1"/>
      <w:numFmt w:val="lowerLetter"/>
      <w:lvlText w:val="%2."/>
      <w:lvlJc w:val="left"/>
      <w:pPr>
        <w:ind w:left="1440" w:hanging="360"/>
      </w:pPr>
    </w:lvl>
    <w:lvl w:ilvl="2" w:tplc="E1FC3F6A">
      <w:start w:val="1"/>
      <w:numFmt w:val="lowerRoman"/>
      <w:lvlText w:val="%3."/>
      <w:lvlJc w:val="right"/>
      <w:pPr>
        <w:ind w:left="2160" w:hanging="180"/>
      </w:pPr>
    </w:lvl>
    <w:lvl w:ilvl="3" w:tplc="432C7036">
      <w:start w:val="1"/>
      <w:numFmt w:val="decimal"/>
      <w:lvlText w:val="%4."/>
      <w:lvlJc w:val="left"/>
      <w:pPr>
        <w:ind w:left="2880" w:hanging="360"/>
      </w:pPr>
    </w:lvl>
    <w:lvl w:ilvl="4" w:tplc="285A7C9A">
      <w:start w:val="1"/>
      <w:numFmt w:val="lowerLetter"/>
      <w:lvlText w:val="%5."/>
      <w:lvlJc w:val="left"/>
      <w:pPr>
        <w:ind w:left="3600" w:hanging="360"/>
      </w:pPr>
    </w:lvl>
    <w:lvl w:ilvl="5" w:tplc="9940BBEA">
      <w:start w:val="1"/>
      <w:numFmt w:val="lowerRoman"/>
      <w:lvlText w:val="%6."/>
      <w:lvlJc w:val="right"/>
      <w:pPr>
        <w:ind w:left="4320" w:hanging="180"/>
      </w:pPr>
    </w:lvl>
    <w:lvl w:ilvl="6" w:tplc="7644A37C">
      <w:start w:val="1"/>
      <w:numFmt w:val="decimal"/>
      <w:lvlText w:val="%7."/>
      <w:lvlJc w:val="left"/>
      <w:pPr>
        <w:ind w:left="5040" w:hanging="360"/>
      </w:pPr>
    </w:lvl>
    <w:lvl w:ilvl="7" w:tplc="7D9C55F2">
      <w:start w:val="1"/>
      <w:numFmt w:val="lowerLetter"/>
      <w:lvlText w:val="%8."/>
      <w:lvlJc w:val="left"/>
      <w:pPr>
        <w:ind w:left="5760" w:hanging="360"/>
      </w:pPr>
    </w:lvl>
    <w:lvl w:ilvl="8" w:tplc="82EE8304">
      <w:start w:val="1"/>
      <w:numFmt w:val="lowerRoman"/>
      <w:lvlText w:val="%9."/>
      <w:lvlJc w:val="right"/>
      <w:pPr>
        <w:ind w:left="6480" w:hanging="180"/>
      </w:pPr>
    </w:lvl>
  </w:abstractNum>
  <w:abstractNum w:abstractNumId="36">
    <w:nsid w:val="792974EC"/>
    <w:multiLevelType w:val="multilevel"/>
    <w:tmpl w:val="33022BC8"/>
    <w:lvl w:ilvl="0">
      <w:start w:val="1"/>
      <w:numFmt w:val="bullet"/>
      <w:pStyle w:val="vietas3"/>
      <w:lvlText w:val="o"/>
      <w:lvlJc w:val="left"/>
      <w:pPr>
        <w:tabs>
          <w:tab w:val="num" w:pos="1891"/>
        </w:tabs>
        <w:ind w:left="1891" w:hanging="360"/>
      </w:pPr>
      <w:rPr>
        <w:rFonts w:ascii="Symbol" w:hAnsi="Symbol" w:hint="default"/>
        <w:color w:val="auto"/>
        <w:sz w:val="22"/>
        <w:szCs w:val="22"/>
      </w:rPr>
    </w:lvl>
    <w:lvl w:ilvl="1">
      <w:start w:val="1"/>
      <w:numFmt w:val="bullet"/>
      <w:lvlText w:val="o"/>
      <w:lvlJc w:val="left"/>
      <w:pPr>
        <w:tabs>
          <w:tab w:val="num" w:pos="2603"/>
        </w:tabs>
        <w:ind w:left="2603" w:hanging="360"/>
      </w:pPr>
      <w:rPr>
        <w:rFonts w:ascii="Courier New" w:hAnsi="Courier New" w:cs="Courier New" w:hint="default"/>
      </w:rPr>
    </w:lvl>
    <w:lvl w:ilvl="2">
      <w:start w:val="1"/>
      <w:numFmt w:val="bullet"/>
      <w:lvlText w:val=""/>
      <w:lvlJc w:val="left"/>
      <w:pPr>
        <w:tabs>
          <w:tab w:val="num" w:pos="3323"/>
        </w:tabs>
        <w:ind w:left="3323" w:hanging="360"/>
      </w:pPr>
      <w:rPr>
        <w:rFonts w:ascii="Wingdings" w:hAnsi="Wingdings" w:hint="default"/>
      </w:rPr>
    </w:lvl>
    <w:lvl w:ilvl="3">
      <w:start w:val="1"/>
      <w:numFmt w:val="bullet"/>
      <w:lvlText w:val=""/>
      <w:lvlJc w:val="left"/>
      <w:pPr>
        <w:tabs>
          <w:tab w:val="num" w:pos="4043"/>
        </w:tabs>
        <w:ind w:left="4043" w:hanging="360"/>
      </w:pPr>
      <w:rPr>
        <w:rFonts w:ascii="Symbol" w:hAnsi="Symbol" w:hint="default"/>
      </w:rPr>
    </w:lvl>
    <w:lvl w:ilvl="4">
      <w:start w:val="1"/>
      <w:numFmt w:val="bullet"/>
      <w:lvlText w:val="o"/>
      <w:lvlJc w:val="left"/>
      <w:pPr>
        <w:tabs>
          <w:tab w:val="num" w:pos="4763"/>
        </w:tabs>
        <w:ind w:left="4763" w:hanging="360"/>
      </w:pPr>
      <w:rPr>
        <w:rFonts w:ascii="Courier New" w:hAnsi="Courier New" w:cs="Courier New" w:hint="default"/>
      </w:rPr>
    </w:lvl>
    <w:lvl w:ilvl="5">
      <w:start w:val="1"/>
      <w:numFmt w:val="bullet"/>
      <w:lvlText w:val=""/>
      <w:lvlJc w:val="left"/>
      <w:pPr>
        <w:tabs>
          <w:tab w:val="num" w:pos="5483"/>
        </w:tabs>
        <w:ind w:left="5483" w:hanging="360"/>
      </w:pPr>
      <w:rPr>
        <w:rFonts w:ascii="Wingdings" w:hAnsi="Wingdings" w:hint="default"/>
      </w:rPr>
    </w:lvl>
    <w:lvl w:ilvl="6">
      <w:start w:val="1"/>
      <w:numFmt w:val="bullet"/>
      <w:lvlText w:val=""/>
      <w:lvlJc w:val="left"/>
      <w:pPr>
        <w:tabs>
          <w:tab w:val="num" w:pos="6203"/>
        </w:tabs>
        <w:ind w:left="6203" w:hanging="360"/>
      </w:pPr>
      <w:rPr>
        <w:rFonts w:ascii="Symbol" w:hAnsi="Symbol" w:hint="default"/>
      </w:rPr>
    </w:lvl>
    <w:lvl w:ilvl="7">
      <w:start w:val="1"/>
      <w:numFmt w:val="bullet"/>
      <w:lvlText w:val="o"/>
      <w:lvlJc w:val="left"/>
      <w:pPr>
        <w:tabs>
          <w:tab w:val="num" w:pos="6923"/>
        </w:tabs>
        <w:ind w:left="6923" w:hanging="360"/>
      </w:pPr>
      <w:rPr>
        <w:rFonts w:ascii="Courier New" w:hAnsi="Courier New" w:cs="Courier New" w:hint="default"/>
      </w:rPr>
    </w:lvl>
    <w:lvl w:ilvl="8">
      <w:start w:val="1"/>
      <w:numFmt w:val="bullet"/>
      <w:lvlText w:val=""/>
      <w:lvlJc w:val="left"/>
      <w:pPr>
        <w:tabs>
          <w:tab w:val="num" w:pos="7643"/>
        </w:tabs>
        <w:ind w:left="7643" w:hanging="360"/>
      </w:pPr>
      <w:rPr>
        <w:rFonts w:ascii="Wingdings" w:hAnsi="Wingdings" w:hint="default"/>
      </w:rPr>
    </w:lvl>
  </w:abstractNum>
  <w:abstractNum w:abstractNumId="37">
    <w:nsid w:val="7BE85185"/>
    <w:multiLevelType w:val="hybridMultilevel"/>
    <w:tmpl w:val="58C881EC"/>
    <w:lvl w:ilvl="0" w:tplc="F4062C10">
      <w:start w:val="1"/>
      <w:numFmt w:val="bullet"/>
      <w:lvlText w:val=""/>
      <w:lvlJc w:val="left"/>
      <w:pPr>
        <w:ind w:left="720" w:hanging="360"/>
      </w:pPr>
      <w:rPr>
        <w:rFonts w:ascii="Symbol" w:hAnsi="Symbol" w:hint="default"/>
      </w:rPr>
    </w:lvl>
    <w:lvl w:ilvl="1" w:tplc="B31CAC46">
      <w:start w:val="1"/>
      <w:numFmt w:val="bullet"/>
      <w:lvlText w:val="o"/>
      <w:lvlJc w:val="left"/>
      <w:pPr>
        <w:ind w:left="1440" w:hanging="360"/>
      </w:pPr>
      <w:rPr>
        <w:rFonts w:ascii="Courier New" w:hAnsi="Courier New" w:cs="Courier New" w:hint="default"/>
      </w:rPr>
    </w:lvl>
    <w:lvl w:ilvl="2" w:tplc="A68024EA">
      <w:start w:val="1"/>
      <w:numFmt w:val="bullet"/>
      <w:lvlText w:val=""/>
      <w:lvlJc w:val="left"/>
      <w:pPr>
        <w:ind w:left="2160" w:hanging="360"/>
      </w:pPr>
      <w:rPr>
        <w:rFonts w:ascii="Wingdings" w:hAnsi="Wingdings" w:hint="default"/>
      </w:rPr>
    </w:lvl>
    <w:lvl w:ilvl="3" w:tplc="9B22FFF4">
      <w:start w:val="1"/>
      <w:numFmt w:val="bullet"/>
      <w:lvlText w:val=""/>
      <w:lvlJc w:val="left"/>
      <w:pPr>
        <w:ind w:left="2880" w:hanging="360"/>
      </w:pPr>
      <w:rPr>
        <w:rFonts w:ascii="Symbol" w:hAnsi="Symbol" w:hint="default"/>
      </w:rPr>
    </w:lvl>
    <w:lvl w:ilvl="4" w:tplc="F8D6DFF2">
      <w:start w:val="1"/>
      <w:numFmt w:val="bullet"/>
      <w:lvlText w:val="o"/>
      <w:lvlJc w:val="left"/>
      <w:pPr>
        <w:ind w:left="3600" w:hanging="360"/>
      </w:pPr>
      <w:rPr>
        <w:rFonts w:ascii="Courier New" w:hAnsi="Courier New" w:cs="Courier New" w:hint="default"/>
      </w:rPr>
    </w:lvl>
    <w:lvl w:ilvl="5" w:tplc="D55265B8">
      <w:start w:val="1"/>
      <w:numFmt w:val="bullet"/>
      <w:lvlText w:val=""/>
      <w:lvlJc w:val="left"/>
      <w:pPr>
        <w:ind w:left="4320" w:hanging="360"/>
      </w:pPr>
      <w:rPr>
        <w:rFonts w:ascii="Wingdings" w:hAnsi="Wingdings" w:hint="default"/>
      </w:rPr>
    </w:lvl>
    <w:lvl w:ilvl="6" w:tplc="9C781476">
      <w:start w:val="1"/>
      <w:numFmt w:val="bullet"/>
      <w:lvlText w:val=""/>
      <w:lvlJc w:val="left"/>
      <w:pPr>
        <w:ind w:left="5040" w:hanging="360"/>
      </w:pPr>
      <w:rPr>
        <w:rFonts w:ascii="Symbol" w:hAnsi="Symbol" w:hint="default"/>
      </w:rPr>
    </w:lvl>
    <w:lvl w:ilvl="7" w:tplc="2F4E0C16">
      <w:start w:val="1"/>
      <w:numFmt w:val="bullet"/>
      <w:lvlText w:val="o"/>
      <w:lvlJc w:val="left"/>
      <w:pPr>
        <w:ind w:left="5760" w:hanging="360"/>
      </w:pPr>
      <w:rPr>
        <w:rFonts w:ascii="Courier New" w:hAnsi="Courier New" w:cs="Courier New" w:hint="default"/>
      </w:rPr>
    </w:lvl>
    <w:lvl w:ilvl="8" w:tplc="2D94ECBA">
      <w:start w:val="1"/>
      <w:numFmt w:val="bullet"/>
      <w:lvlText w:val=""/>
      <w:lvlJc w:val="left"/>
      <w:pPr>
        <w:ind w:left="6480" w:hanging="360"/>
      </w:pPr>
      <w:rPr>
        <w:rFonts w:ascii="Wingdings" w:hAnsi="Wingdings" w:hint="default"/>
      </w:rPr>
    </w:lvl>
  </w:abstractNum>
  <w:num w:numId="1">
    <w:abstractNumId w:val="21"/>
  </w:num>
  <w:num w:numId="2">
    <w:abstractNumId w:val="36"/>
  </w:num>
  <w:num w:numId="3">
    <w:abstractNumId w:val="17"/>
  </w:num>
  <w:num w:numId="4">
    <w:abstractNumId w:val="2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9"/>
  </w:num>
  <w:num w:numId="10">
    <w:abstractNumId w:val="32"/>
  </w:num>
  <w:num w:numId="11">
    <w:abstractNumId w:val="14"/>
  </w:num>
  <w:num w:numId="12">
    <w:abstractNumId w:val="30"/>
  </w:num>
  <w:num w:numId="13">
    <w:abstractNumId w:val="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25"/>
    <w:lvlOverride w:ilvl="0">
      <w:startOverride w:val="1"/>
    </w:lvlOverride>
    <w:lvlOverride w:ilvl="1"/>
    <w:lvlOverride w:ilvl="2"/>
    <w:lvlOverride w:ilvl="3"/>
    <w:lvlOverride w:ilvl="4"/>
    <w:lvlOverride w:ilvl="5"/>
    <w:lvlOverride w:ilvl="6"/>
    <w:lvlOverride w:ilvl="7"/>
    <w:lvlOverride w:ilvl="8"/>
  </w:num>
  <w:num w:numId="23">
    <w:abstractNumId w:val="13"/>
  </w:num>
  <w:num w:numId="24">
    <w:abstractNumId w:val="8"/>
  </w:num>
  <w:num w:numId="25">
    <w:abstractNumId w:val="11"/>
  </w:num>
  <w:num w:numId="26">
    <w:abstractNumId w:val="3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5"/>
  </w:num>
  <w:num w:numId="30">
    <w:abstractNumId w:val="9"/>
  </w:num>
  <w:num w:numId="31">
    <w:abstractNumId w:val="34"/>
  </w:num>
  <w:num w:numId="32">
    <w:abstractNumId w:val="0"/>
  </w:num>
  <w:num w:numId="33">
    <w:abstractNumId w:val="5"/>
  </w:num>
  <w:num w:numId="34">
    <w:abstractNumId w:val="26"/>
  </w:num>
  <w:num w:numId="35">
    <w:abstractNumId w:val="7"/>
  </w:num>
  <w:num w:numId="36">
    <w:abstractNumId w:val="19"/>
  </w:num>
  <w:num w:numId="37">
    <w:abstractNumId w:val="18"/>
  </w:num>
  <w:num w:numId="38">
    <w:abstractNumId w:val="1"/>
  </w:num>
  <w:num w:numId="39">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745A90"/>
    <w:rsid w:val="00000585"/>
    <w:rsid w:val="00016A95"/>
    <w:rsid w:val="000211B0"/>
    <w:rsid w:val="00022D05"/>
    <w:rsid w:val="00025D7E"/>
    <w:rsid w:val="00027158"/>
    <w:rsid w:val="0003032B"/>
    <w:rsid w:val="00033056"/>
    <w:rsid w:val="000330D0"/>
    <w:rsid w:val="000370C9"/>
    <w:rsid w:val="000371EF"/>
    <w:rsid w:val="0003760F"/>
    <w:rsid w:val="00037A66"/>
    <w:rsid w:val="00046E5B"/>
    <w:rsid w:val="00050C22"/>
    <w:rsid w:val="00055690"/>
    <w:rsid w:val="00063FE0"/>
    <w:rsid w:val="00066899"/>
    <w:rsid w:val="00074F22"/>
    <w:rsid w:val="0007717C"/>
    <w:rsid w:val="0008036A"/>
    <w:rsid w:val="00080878"/>
    <w:rsid w:val="00081BCD"/>
    <w:rsid w:val="0008308C"/>
    <w:rsid w:val="000915CB"/>
    <w:rsid w:val="00094B6A"/>
    <w:rsid w:val="00094D4E"/>
    <w:rsid w:val="000979F3"/>
    <w:rsid w:val="000A1831"/>
    <w:rsid w:val="000A25A7"/>
    <w:rsid w:val="000A5EEC"/>
    <w:rsid w:val="000A634D"/>
    <w:rsid w:val="000A67D0"/>
    <w:rsid w:val="000A7EED"/>
    <w:rsid w:val="000B7CD5"/>
    <w:rsid w:val="000C0C1D"/>
    <w:rsid w:val="000C1C8C"/>
    <w:rsid w:val="000C3271"/>
    <w:rsid w:val="000C757E"/>
    <w:rsid w:val="000D37E0"/>
    <w:rsid w:val="000D3CD6"/>
    <w:rsid w:val="000D6E67"/>
    <w:rsid w:val="000E29E8"/>
    <w:rsid w:val="000E2EC1"/>
    <w:rsid w:val="000E6735"/>
    <w:rsid w:val="000E7493"/>
    <w:rsid w:val="000F25E7"/>
    <w:rsid w:val="000F271F"/>
    <w:rsid w:val="00111C18"/>
    <w:rsid w:val="001126D5"/>
    <w:rsid w:val="001128C2"/>
    <w:rsid w:val="001163A5"/>
    <w:rsid w:val="00117410"/>
    <w:rsid w:val="00123259"/>
    <w:rsid w:val="001245B3"/>
    <w:rsid w:val="00125E1A"/>
    <w:rsid w:val="00131740"/>
    <w:rsid w:val="001320E7"/>
    <w:rsid w:val="00134D57"/>
    <w:rsid w:val="00135870"/>
    <w:rsid w:val="00137222"/>
    <w:rsid w:val="001465A4"/>
    <w:rsid w:val="00146985"/>
    <w:rsid w:val="0015216C"/>
    <w:rsid w:val="001637A3"/>
    <w:rsid w:val="00164B82"/>
    <w:rsid w:val="00164FE3"/>
    <w:rsid w:val="00170187"/>
    <w:rsid w:val="00170A3D"/>
    <w:rsid w:val="00171AFC"/>
    <w:rsid w:val="00180496"/>
    <w:rsid w:val="001836B2"/>
    <w:rsid w:val="0018385B"/>
    <w:rsid w:val="00195A90"/>
    <w:rsid w:val="001A1049"/>
    <w:rsid w:val="001A22A5"/>
    <w:rsid w:val="001A2330"/>
    <w:rsid w:val="001A743E"/>
    <w:rsid w:val="001B17AA"/>
    <w:rsid w:val="001B1EF3"/>
    <w:rsid w:val="001B7894"/>
    <w:rsid w:val="001B7D3F"/>
    <w:rsid w:val="001B7D8E"/>
    <w:rsid w:val="001B7FE3"/>
    <w:rsid w:val="001C18DB"/>
    <w:rsid w:val="001C2B93"/>
    <w:rsid w:val="001C5129"/>
    <w:rsid w:val="001C5544"/>
    <w:rsid w:val="001C6990"/>
    <w:rsid w:val="001C7448"/>
    <w:rsid w:val="001D4E3C"/>
    <w:rsid w:val="001D5A29"/>
    <w:rsid w:val="001E1779"/>
    <w:rsid w:val="001E55CD"/>
    <w:rsid w:val="001F0870"/>
    <w:rsid w:val="001F1198"/>
    <w:rsid w:val="001F240B"/>
    <w:rsid w:val="001F2F80"/>
    <w:rsid w:val="001F6AC7"/>
    <w:rsid w:val="002140A2"/>
    <w:rsid w:val="00216B4A"/>
    <w:rsid w:val="00217E88"/>
    <w:rsid w:val="002238A5"/>
    <w:rsid w:val="0022591E"/>
    <w:rsid w:val="00231375"/>
    <w:rsid w:val="00235045"/>
    <w:rsid w:val="0023507B"/>
    <w:rsid w:val="002378CD"/>
    <w:rsid w:val="00237EC0"/>
    <w:rsid w:val="002419C2"/>
    <w:rsid w:val="00242E3A"/>
    <w:rsid w:val="00251B31"/>
    <w:rsid w:val="00251E5B"/>
    <w:rsid w:val="00254E23"/>
    <w:rsid w:val="00255F78"/>
    <w:rsid w:val="00257CF1"/>
    <w:rsid w:val="00261EB9"/>
    <w:rsid w:val="002621CB"/>
    <w:rsid w:val="00262DA8"/>
    <w:rsid w:val="0026528A"/>
    <w:rsid w:val="0027518C"/>
    <w:rsid w:val="00282634"/>
    <w:rsid w:val="002A0E54"/>
    <w:rsid w:val="002A632D"/>
    <w:rsid w:val="002A7A1A"/>
    <w:rsid w:val="002B0223"/>
    <w:rsid w:val="002B2EBE"/>
    <w:rsid w:val="002B30BD"/>
    <w:rsid w:val="002B340F"/>
    <w:rsid w:val="002B601A"/>
    <w:rsid w:val="002B7B4D"/>
    <w:rsid w:val="002C1FB7"/>
    <w:rsid w:val="002C476E"/>
    <w:rsid w:val="002C61C8"/>
    <w:rsid w:val="002D317F"/>
    <w:rsid w:val="002D3E2B"/>
    <w:rsid w:val="002D5579"/>
    <w:rsid w:val="002D7984"/>
    <w:rsid w:val="002E00D2"/>
    <w:rsid w:val="002E144A"/>
    <w:rsid w:val="002F009A"/>
    <w:rsid w:val="002F064E"/>
    <w:rsid w:val="002F1CB3"/>
    <w:rsid w:val="002F229D"/>
    <w:rsid w:val="003026C6"/>
    <w:rsid w:val="0030747F"/>
    <w:rsid w:val="0031122E"/>
    <w:rsid w:val="003154B2"/>
    <w:rsid w:val="0032323E"/>
    <w:rsid w:val="0032619C"/>
    <w:rsid w:val="003325CF"/>
    <w:rsid w:val="00332990"/>
    <w:rsid w:val="00354DFB"/>
    <w:rsid w:val="00360671"/>
    <w:rsid w:val="0036348D"/>
    <w:rsid w:val="00364580"/>
    <w:rsid w:val="003727D1"/>
    <w:rsid w:val="00373B5B"/>
    <w:rsid w:val="003766A3"/>
    <w:rsid w:val="00377AAE"/>
    <w:rsid w:val="00381BFE"/>
    <w:rsid w:val="003858F8"/>
    <w:rsid w:val="003917B3"/>
    <w:rsid w:val="0039192A"/>
    <w:rsid w:val="003A0E51"/>
    <w:rsid w:val="003B24E1"/>
    <w:rsid w:val="003B3426"/>
    <w:rsid w:val="003B412A"/>
    <w:rsid w:val="003B4597"/>
    <w:rsid w:val="003B4ADB"/>
    <w:rsid w:val="003B5DB8"/>
    <w:rsid w:val="003C11BB"/>
    <w:rsid w:val="003C235A"/>
    <w:rsid w:val="003C6012"/>
    <w:rsid w:val="003C68FF"/>
    <w:rsid w:val="003D424D"/>
    <w:rsid w:val="003D5D61"/>
    <w:rsid w:val="003F0D94"/>
    <w:rsid w:val="003F12AC"/>
    <w:rsid w:val="003F14FF"/>
    <w:rsid w:val="003F2CC6"/>
    <w:rsid w:val="003F45DF"/>
    <w:rsid w:val="003F68D9"/>
    <w:rsid w:val="003F7EBD"/>
    <w:rsid w:val="00401D31"/>
    <w:rsid w:val="0040345E"/>
    <w:rsid w:val="00405BB6"/>
    <w:rsid w:val="004139D6"/>
    <w:rsid w:val="00415435"/>
    <w:rsid w:val="00415887"/>
    <w:rsid w:val="00417D93"/>
    <w:rsid w:val="004234B5"/>
    <w:rsid w:val="0042350A"/>
    <w:rsid w:val="00425F86"/>
    <w:rsid w:val="00432F55"/>
    <w:rsid w:val="00434CEC"/>
    <w:rsid w:val="00437125"/>
    <w:rsid w:val="00440050"/>
    <w:rsid w:val="0044445E"/>
    <w:rsid w:val="00446E3B"/>
    <w:rsid w:val="004476DA"/>
    <w:rsid w:val="0045478A"/>
    <w:rsid w:val="00457B51"/>
    <w:rsid w:val="004629E2"/>
    <w:rsid w:val="00463CC4"/>
    <w:rsid w:val="00463F94"/>
    <w:rsid w:val="0046517C"/>
    <w:rsid w:val="0048044C"/>
    <w:rsid w:val="00484E69"/>
    <w:rsid w:val="0049012B"/>
    <w:rsid w:val="00495129"/>
    <w:rsid w:val="00496054"/>
    <w:rsid w:val="00496627"/>
    <w:rsid w:val="004978FB"/>
    <w:rsid w:val="004A0842"/>
    <w:rsid w:val="004A5986"/>
    <w:rsid w:val="004A6A0E"/>
    <w:rsid w:val="004A6BE0"/>
    <w:rsid w:val="004B32CF"/>
    <w:rsid w:val="004B48E1"/>
    <w:rsid w:val="004B4A1B"/>
    <w:rsid w:val="004B4D5F"/>
    <w:rsid w:val="004C203B"/>
    <w:rsid w:val="004C471F"/>
    <w:rsid w:val="004D398D"/>
    <w:rsid w:val="004D7717"/>
    <w:rsid w:val="004D7F62"/>
    <w:rsid w:val="004E0FBA"/>
    <w:rsid w:val="004E1FF8"/>
    <w:rsid w:val="004E4482"/>
    <w:rsid w:val="004F4C8E"/>
    <w:rsid w:val="004F4E0E"/>
    <w:rsid w:val="004F5F42"/>
    <w:rsid w:val="004F6B04"/>
    <w:rsid w:val="00501478"/>
    <w:rsid w:val="00502853"/>
    <w:rsid w:val="00507AFB"/>
    <w:rsid w:val="00513B14"/>
    <w:rsid w:val="0051509A"/>
    <w:rsid w:val="00517F9B"/>
    <w:rsid w:val="00524D3E"/>
    <w:rsid w:val="005314E4"/>
    <w:rsid w:val="00531511"/>
    <w:rsid w:val="00534627"/>
    <w:rsid w:val="00535EE0"/>
    <w:rsid w:val="00536E2D"/>
    <w:rsid w:val="00543228"/>
    <w:rsid w:val="00543246"/>
    <w:rsid w:val="00551A4F"/>
    <w:rsid w:val="00560077"/>
    <w:rsid w:val="00565062"/>
    <w:rsid w:val="005703C1"/>
    <w:rsid w:val="00577C89"/>
    <w:rsid w:val="00580305"/>
    <w:rsid w:val="005809CB"/>
    <w:rsid w:val="00583B96"/>
    <w:rsid w:val="0058461E"/>
    <w:rsid w:val="00590994"/>
    <w:rsid w:val="00593EB3"/>
    <w:rsid w:val="005959AA"/>
    <w:rsid w:val="00595A99"/>
    <w:rsid w:val="00595B81"/>
    <w:rsid w:val="005A0668"/>
    <w:rsid w:val="005A0E4B"/>
    <w:rsid w:val="005A1765"/>
    <w:rsid w:val="005A4D71"/>
    <w:rsid w:val="005B4FEB"/>
    <w:rsid w:val="005B5044"/>
    <w:rsid w:val="005C05F3"/>
    <w:rsid w:val="005C3349"/>
    <w:rsid w:val="005C3A0F"/>
    <w:rsid w:val="005C7236"/>
    <w:rsid w:val="005D14AC"/>
    <w:rsid w:val="005D3241"/>
    <w:rsid w:val="005D7FBF"/>
    <w:rsid w:val="005E0FD0"/>
    <w:rsid w:val="005E1A5E"/>
    <w:rsid w:val="005F0037"/>
    <w:rsid w:val="005F09A4"/>
    <w:rsid w:val="005F5D7B"/>
    <w:rsid w:val="00600941"/>
    <w:rsid w:val="0061139C"/>
    <w:rsid w:val="006121B9"/>
    <w:rsid w:val="00620FBA"/>
    <w:rsid w:val="006214C6"/>
    <w:rsid w:val="00623BF3"/>
    <w:rsid w:val="00625637"/>
    <w:rsid w:val="00632EA0"/>
    <w:rsid w:val="00634013"/>
    <w:rsid w:val="006371BD"/>
    <w:rsid w:val="006400BA"/>
    <w:rsid w:val="00641DC0"/>
    <w:rsid w:val="00642254"/>
    <w:rsid w:val="00644D8D"/>
    <w:rsid w:val="0064521B"/>
    <w:rsid w:val="006473BD"/>
    <w:rsid w:val="00660DAF"/>
    <w:rsid w:val="006614BE"/>
    <w:rsid w:val="006657FC"/>
    <w:rsid w:val="00667C79"/>
    <w:rsid w:val="00674D7A"/>
    <w:rsid w:val="00680C83"/>
    <w:rsid w:val="00680E99"/>
    <w:rsid w:val="00687B55"/>
    <w:rsid w:val="00687E83"/>
    <w:rsid w:val="00693588"/>
    <w:rsid w:val="00693C11"/>
    <w:rsid w:val="006A0C37"/>
    <w:rsid w:val="006A209B"/>
    <w:rsid w:val="006A2F15"/>
    <w:rsid w:val="006B1686"/>
    <w:rsid w:val="006B2DEE"/>
    <w:rsid w:val="006B5643"/>
    <w:rsid w:val="006C1166"/>
    <w:rsid w:val="006C18FA"/>
    <w:rsid w:val="006C2F08"/>
    <w:rsid w:val="006C563C"/>
    <w:rsid w:val="006D2B54"/>
    <w:rsid w:val="006E35DA"/>
    <w:rsid w:val="006E4E7F"/>
    <w:rsid w:val="006F3B98"/>
    <w:rsid w:val="006F3E6D"/>
    <w:rsid w:val="006F622A"/>
    <w:rsid w:val="006F68A5"/>
    <w:rsid w:val="006F6DB8"/>
    <w:rsid w:val="006F6DC4"/>
    <w:rsid w:val="006F6F70"/>
    <w:rsid w:val="0070196F"/>
    <w:rsid w:val="00702780"/>
    <w:rsid w:val="00705F8E"/>
    <w:rsid w:val="0071013B"/>
    <w:rsid w:val="00710B9F"/>
    <w:rsid w:val="0071105C"/>
    <w:rsid w:val="00712861"/>
    <w:rsid w:val="00712F4A"/>
    <w:rsid w:val="0072048E"/>
    <w:rsid w:val="00722190"/>
    <w:rsid w:val="007228CF"/>
    <w:rsid w:val="0073162B"/>
    <w:rsid w:val="00732D74"/>
    <w:rsid w:val="00734C1B"/>
    <w:rsid w:val="00734CE4"/>
    <w:rsid w:val="00736B37"/>
    <w:rsid w:val="00737D4A"/>
    <w:rsid w:val="00740D43"/>
    <w:rsid w:val="0074387B"/>
    <w:rsid w:val="00745A90"/>
    <w:rsid w:val="00747327"/>
    <w:rsid w:val="0076201E"/>
    <w:rsid w:val="0076349D"/>
    <w:rsid w:val="007644EE"/>
    <w:rsid w:val="00765B6C"/>
    <w:rsid w:val="0077053F"/>
    <w:rsid w:val="0077228C"/>
    <w:rsid w:val="007810F8"/>
    <w:rsid w:val="0078255A"/>
    <w:rsid w:val="007931EB"/>
    <w:rsid w:val="00794125"/>
    <w:rsid w:val="00796B4E"/>
    <w:rsid w:val="007A551A"/>
    <w:rsid w:val="007B02A5"/>
    <w:rsid w:val="007B2DE5"/>
    <w:rsid w:val="007B4C01"/>
    <w:rsid w:val="007B5661"/>
    <w:rsid w:val="007C5600"/>
    <w:rsid w:val="007D483D"/>
    <w:rsid w:val="007D4861"/>
    <w:rsid w:val="007D5326"/>
    <w:rsid w:val="007D5405"/>
    <w:rsid w:val="007D633D"/>
    <w:rsid w:val="007E7D98"/>
    <w:rsid w:val="007F02DA"/>
    <w:rsid w:val="007F33C3"/>
    <w:rsid w:val="007F587A"/>
    <w:rsid w:val="008016DB"/>
    <w:rsid w:val="00803E80"/>
    <w:rsid w:val="00804384"/>
    <w:rsid w:val="00811D02"/>
    <w:rsid w:val="00816224"/>
    <w:rsid w:val="0083034F"/>
    <w:rsid w:val="00830474"/>
    <w:rsid w:val="008310D6"/>
    <w:rsid w:val="00831585"/>
    <w:rsid w:val="00833FB2"/>
    <w:rsid w:val="0083453A"/>
    <w:rsid w:val="0083542E"/>
    <w:rsid w:val="008460D4"/>
    <w:rsid w:val="008471DA"/>
    <w:rsid w:val="0084751A"/>
    <w:rsid w:val="00847BE1"/>
    <w:rsid w:val="00850F3A"/>
    <w:rsid w:val="0085572F"/>
    <w:rsid w:val="00855A02"/>
    <w:rsid w:val="00856D0B"/>
    <w:rsid w:val="00861718"/>
    <w:rsid w:val="00862A0C"/>
    <w:rsid w:val="00864640"/>
    <w:rsid w:val="008657A7"/>
    <w:rsid w:val="00870DF8"/>
    <w:rsid w:val="00870F52"/>
    <w:rsid w:val="008719CB"/>
    <w:rsid w:val="00880778"/>
    <w:rsid w:val="00891C74"/>
    <w:rsid w:val="00894B2B"/>
    <w:rsid w:val="008A2E60"/>
    <w:rsid w:val="008A44F7"/>
    <w:rsid w:val="008B16D6"/>
    <w:rsid w:val="008C0F1E"/>
    <w:rsid w:val="008C1757"/>
    <w:rsid w:val="008C22AE"/>
    <w:rsid w:val="008C3769"/>
    <w:rsid w:val="008C49B7"/>
    <w:rsid w:val="008C51C0"/>
    <w:rsid w:val="008C5A5D"/>
    <w:rsid w:val="008D364D"/>
    <w:rsid w:val="008D7A3D"/>
    <w:rsid w:val="008E05F7"/>
    <w:rsid w:val="008E7DD8"/>
    <w:rsid w:val="008F0656"/>
    <w:rsid w:val="008F13C1"/>
    <w:rsid w:val="008F4349"/>
    <w:rsid w:val="008F5D23"/>
    <w:rsid w:val="009054E5"/>
    <w:rsid w:val="00905943"/>
    <w:rsid w:val="0091139B"/>
    <w:rsid w:val="00913855"/>
    <w:rsid w:val="00916802"/>
    <w:rsid w:val="00917661"/>
    <w:rsid w:val="00917E4A"/>
    <w:rsid w:val="00921AFE"/>
    <w:rsid w:val="009243DE"/>
    <w:rsid w:val="00927113"/>
    <w:rsid w:val="0093001A"/>
    <w:rsid w:val="00930A1E"/>
    <w:rsid w:val="00931420"/>
    <w:rsid w:val="00934933"/>
    <w:rsid w:val="00937590"/>
    <w:rsid w:val="0093779D"/>
    <w:rsid w:val="009405CE"/>
    <w:rsid w:val="00944309"/>
    <w:rsid w:val="00951633"/>
    <w:rsid w:val="00962E3E"/>
    <w:rsid w:val="0097062E"/>
    <w:rsid w:val="00975C1C"/>
    <w:rsid w:val="00976782"/>
    <w:rsid w:val="009768CA"/>
    <w:rsid w:val="00976BCF"/>
    <w:rsid w:val="00987F9A"/>
    <w:rsid w:val="009951F8"/>
    <w:rsid w:val="009968ED"/>
    <w:rsid w:val="009A2801"/>
    <w:rsid w:val="009A2888"/>
    <w:rsid w:val="009A28A3"/>
    <w:rsid w:val="009A2AD6"/>
    <w:rsid w:val="009A4BDC"/>
    <w:rsid w:val="009A5015"/>
    <w:rsid w:val="009B00A0"/>
    <w:rsid w:val="009B0536"/>
    <w:rsid w:val="009C301B"/>
    <w:rsid w:val="009D2417"/>
    <w:rsid w:val="009D63C8"/>
    <w:rsid w:val="009F0B5D"/>
    <w:rsid w:val="009F0DA6"/>
    <w:rsid w:val="009F24F7"/>
    <w:rsid w:val="009F26D2"/>
    <w:rsid w:val="009F58C4"/>
    <w:rsid w:val="009F5D24"/>
    <w:rsid w:val="00A0123F"/>
    <w:rsid w:val="00A01CFA"/>
    <w:rsid w:val="00A01FB3"/>
    <w:rsid w:val="00A04B60"/>
    <w:rsid w:val="00A05AD9"/>
    <w:rsid w:val="00A11418"/>
    <w:rsid w:val="00A146D3"/>
    <w:rsid w:val="00A200B8"/>
    <w:rsid w:val="00A20252"/>
    <w:rsid w:val="00A2284E"/>
    <w:rsid w:val="00A3127A"/>
    <w:rsid w:val="00A368EF"/>
    <w:rsid w:val="00A374A9"/>
    <w:rsid w:val="00A40E93"/>
    <w:rsid w:val="00A434DA"/>
    <w:rsid w:val="00A47D7C"/>
    <w:rsid w:val="00A549F7"/>
    <w:rsid w:val="00A54C19"/>
    <w:rsid w:val="00A61045"/>
    <w:rsid w:val="00A63FEF"/>
    <w:rsid w:val="00A67D67"/>
    <w:rsid w:val="00A72A0F"/>
    <w:rsid w:val="00A731AF"/>
    <w:rsid w:val="00A8534B"/>
    <w:rsid w:val="00A8701B"/>
    <w:rsid w:val="00A91BA2"/>
    <w:rsid w:val="00A9273B"/>
    <w:rsid w:val="00A928FF"/>
    <w:rsid w:val="00AA16C2"/>
    <w:rsid w:val="00AA2DB6"/>
    <w:rsid w:val="00AA6BE9"/>
    <w:rsid w:val="00AA6C96"/>
    <w:rsid w:val="00AB0788"/>
    <w:rsid w:val="00AB4FB6"/>
    <w:rsid w:val="00AB6836"/>
    <w:rsid w:val="00AD286F"/>
    <w:rsid w:val="00AD41F6"/>
    <w:rsid w:val="00AD4E08"/>
    <w:rsid w:val="00AE0194"/>
    <w:rsid w:val="00AE0EC1"/>
    <w:rsid w:val="00AE3784"/>
    <w:rsid w:val="00AF41FD"/>
    <w:rsid w:val="00AF484C"/>
    <w:rsid w:val="00AF49C4"/>
    <w:rsid w:val="00AF4CC0"/>
    <w:rsid w:val="00B0034D"/>
    <w:rsid w:val="00B03A42"/>
    <w:rsid w:val="00B062BD"/>
    <w:rsid w:val="00B12849"/>
    <w:rsid w:val="00B129C5"/>
    <w:rsid w:val="00B13BDB"/>
    <w:rsid w:val="00B202CF"/>
    <w:rsid w:val="00B24568"/>
    <w:rsid w:val="00B2705D"/>
    <w:rsid w:val="00B30C37"/>
    <w:rsid w:val="00B34129"/>
    <w:rsid w:val="00B34C3A"/>
    <w:rsid w:val="00B34F8E"/>
    <w:rsid w:val="00B352A9"/>
    <w:rsid w:val="00B4217E"/>
    <w:rsid w:val="00B45BD6"/>
    <w:rsid w:val="00B469E0"/>
    <w:rsid w:val="00B47078"/>
    <w:rsid w:val="00B475A3"/>
    <w:rsid w:val="00B57727"/>
    <w:rsid w:val="00B600E8"/>
    <w:rsid w:val="00B6785A"/>
    <w:rsid w:val="00B67B92"/>
    <w:rsid w:val="00B71ACE"/>
    <w:rsid w:val="00B71B1A"/>
    <w:rsid w:val="00B72032"/>
    <w:rsid w:val="00B81F26"/>
    <w:rsid w:val="00B8438C"/>
    <w:rsid w:val="00B84739"/>
    <w:rsid w:val="00B8515A"/>
    <w:rsid w:val="00B940D6"/>
    <w:rsid w:val="00B9640F"/>
    <w:rsid w:val="00B97FF1"/>
    <w:rsid w:val="00BA1DEC"/>
    <w:rsid w:val="00BA2D76"/>
    <w:rsid w:val="00BA3B71"/>
    <w:rsid w:val="00BA4D06"/>
    <w:rsid w:val="00BA7C8E"/>
    <w:rsid w:val="00BB7163"/>
    <w:rsid w:val="00BB7E49"/>
    <w:rsid w:val="00BC155B"/>
    <w:rsid w:val="00BC30C9"/>
    <w:rsid w:val="00BC4097"/>
    <w:rsid w:val="00BD2240"/>
    <w:rsid w:val="00BD28CC"/>
    <w:rsid w:val="00BE325E"/>
    <w:rsid w:val="00BE3F6C"/>
    <w:rsid w:val="00BE4551"/>
    <w:rsid w:val="00BE5856"/>
    <w:rsid w:val="00BE6372"/>
    <w:rsid w:val="00BE6E77"/>
    <w:rsid w:val="00BF1F82"/>
    <w:rsid w:val="00BF34D9"/>
    <w:rsid w:val="00BF4458"/>
    <w:rsid w:val="00BF661C"/>
    <w:rsid w:val="00BF7961"/>
    <w:rsid w:val="00C00DD4"/>
    <w:rsid w:val="00C01837"/>
    <w:rsid w:val="00C02FCF"/>
    <w:rsid w:val="00C04FE4"/>
    <w:rsid w:val="00C0558C"/>
    <w:rsid w:val="00C0741A"/>
    <w:rsid w:val="00C1743B"/>
    <w:rsid w:val="00C1777F"/>
    <w:rsid w:val="00C22F95"/>
    <w:rsid w:val="00C27A7A"/>
    <w:rsid w:val="00C34EEB"/>
    <w:rsid w:val="00C36C42"/>
    <w:rsid w:val="00C408A4"/>
    <w:rsid w:val="00C43777"/>
    <w:rsid w:val="00C4385C"/>
    <w:rsid w:val="00C4484A"/>
    <w:rsid w:val="00C452C0"/>
    <w:rsid w:val="00C5026E"/>
    <w:rsid w:val="00C50F38"/>
    <w:rsid w:val="00C53E5B"/>
    <w:rsid w:val="00C61D87"/>
    <w:rsid w:val="00C6216B"/>
    <w:rsid w:val="00C6794B"/>
    <w:rsid w:val="00C7085E"/>
    <w:rsid w:val="00C73BF4"/>
    <w:rsid w:val="00C82BB6"/>
    <w:rsid w:val="00C90087"/>
    <w:rsid w:val="00C963B5"/>
    <w:rsid w:val="00CA656F"/>
    <w:rsid w:val="00CB222A"/>
    <w:rsid w:val="00CB30E5"/>
    <w:rsid w:val="00CB56C3"/>
    <w:rsid w:val="00CB66B1"/>
    <w:rsid w:val="00CB6CE5"/>
    <w:rsid w:val="00CC1FE6"/>
    <w:rsid w:val="00CC2204"/>
    <w:rsid w:val="00CD0B93"/>
    <w:rsid w:val="00CD215A"/>
    <w:rsid w:val="00CD2B66"/>
    <w:rsid w:val="00CD331C"/>
    <w:rsid w:val="00CD3509"/>
    <w:rsid w:val="00CD4044"/>
    <w:rsid w:val="00CD4250"/>
    <w:rsid w:val="00CD681B"/>
    <w:rsid w:val="00CE10F3"/>
    <w:rsid w:val="00CE2118"/>
    <w:rsid w:val="00CE620E"/>
    <w:rsid w:val="00CF4D99"/>
    <w:rsid w:val="00CF5719"/>
    <w:rsid w:val="00D00BB1"/>
    <w:rsid w:val="00D055D6"/>
    <w:rsid w:val="00D104D7"/>
    <w:rsid w:val="00D1319C"/>
    <w:rsid w:val="00D15A6E"/>
    <w:rsid w:val="00D23836"/>
    <w:rsid w:val="00D23E97"/>
    <w:rsid w:val="00D30BDA"/>
    <w:rsid w:val="00D34A1B"/>
    <w:rsid w:val="00D365C9"/>
    <w:rsid w:val="00D43D84"/>
    <w:rsid w:val="00D5131F"/>
    <w:rsid w:val="00D532CB"/>
    <w:rsid w:val="00D54835"/>
    <w:rsid w:val="00D572AD"/>
    <w:rsid w:val="00D601CE"/>
    <w:rsid w:val="00D61A72"/>
    <w:rsid w:val="00D63382"/>
    <w:rsid w:val="00D672FA"/>
    <w:rsid w:val="00D72A3D"/>
    <w:rsid w:val="00D735AC"/>
    <w:rsid w:val="00D75D34"/>
    <w:rsid w:val="00D77170"/>
    <w:rsid w:val="00D77FB1"/>
    <w:rsid w:val="00D8359C"/>
    <w:rsid w:val="00D86401"/>
    <w:rsid w:val="00D873F3"/>
    <w:rsid w:val="00D87A43"/>
    <w:rsid w:val="00D91C44"/>
    <w:rsid w:val="00D977AF"/>
    <w:rsid w:val="00D977DE"/>
    <w:rsid w:val="00D97E9C"/>
    <w:rsid w:val="00DA1BB8"/>
    <w:rsid w:val="00DA24B0"/>
    <w:rsid w:val="00DA3EA0"/>
    <w:rsid w:val="00DA4B79"/>
    <w:rsid w:val="00DA65DF"/>
    <w:rsid w:val="00DA6BBC"/>
    <w:rsid w:val="00DB106B"/>
    <w:rsid w:val="00DB7574"/>
    <w:rsid w:val="00DD6265"/>
    <w:rsid w:val="00DD7392"/>
    <w:rsid w:val="00DF126D"/>
    <w:rsid w:val="00DF30E5"/>
    <w:rsid w:val="00DF3435"/>
    <w:rsid w:val="00DF7D96"/>
    <w:rsid w:val="00DF7FD8"/>
    <w:rsid w:val="00E00E92"/>
    <w:rsid w:val="00E02946"/>
    <w:rsid w:val="00E03248"/>
    <w:rsid w:val="00E108DA"/>
    <w:rsid w:val="00E10D38"/>
    <w:rsid w:val="00E25FDD"/>
    <w:rsid w:val="00E262EA"/>
    <w:rsid w:val="00E265F4"/>
    <w:rsid w:val="00E270B8"/>
    <w:rsid w:val="00E272D7"/>
    <w:rsid w:val="00E27A6F"/>
    <w:rsid w:val="00E27CC1"/>
    <w:rsid w:val="00E30F1F"/>
    <w:rsid w:val="00E361DA"/>
    <w:rsid w:val="00E47FC8"/>
    <w:rsid w:val="00E52387"/>
    <w:rsid w:val="00E53126"/>
    <w:rsid w:val="00E55773"/>
    <w:rsid w:val="00E5703E"/>
    <w:rsid w:val="00E578A2"/>
    <w:rsid w:val="00E604F7"/>
    <w:rsid w:val="00E60737"/>
    <w:rsid w:val="00E60B0A"/>
    <w:rsid w:val="00E6177B"/>
    <w:rsid w:val="00E6324E"/>
    <w:rsid w:val="00E635FF"/>
    <w:rsid w:val="00E660AA"/>
    <w:rsid w:val="00E71AEB"/>
    <w:rsid w:val="00E7323C"/>
    <w:rsid w:val="00E7628F"/>
    <w:rsid w:val="00E77B39"/>
    <w:rsid w:val="00E813AA"/>
    <w:rsid w:val="00E828A7"/>
    <w:rsid w:val="00E836CA"/>
    <w:rsid w:val="00E84C88"/>
    <w:rsid w:val="00E85B28"/>
    <w:rsid w:val="00E87B56"/>
    <w:rsid w:val="00E920BF"/>
    <w:rsid w:val="00EA168F"/>
    <w:rsid w:val="00EA318A"/>
    <w:rsid w:val="00EA3802"/>
    <w:rsid w:val="00EA3D05"/>
    <w:rsid w:val="00EA4824"/>
    <w:rsid w:val="00EA4FEA"/>
    <w:rsid w:val="00EA5FB2"/>
    <w:rsid w:val="00EB07A4"/>
    <w:rsid w:val="00EB3992"/>
    <w:rsid w:val="00EB3C9B"/>
    <w:rsid w:val="00EB5469"/>
    <w:rsid w:val="00EB626A"/>
    <w:rsid w:val="00EC20F9"/>
    <w:rsid w:val="00EC49D0"/>
    <w:rsid w:val="00EC6344"/>
    <w:rsid w:val="00ED03B3"/>
    <w:rsid w:val="00ED16A6"/>
    <w:rsid w:val="00EE086F"/>
    <w:rsid w:val="00EE5323"/>
    <w:rsid w:val="00EE6E65"/>
    <w:rsid w:val="00EE7B9B"/>
    <w:rsid w:val="00EF01CE"/>
    <w:rsid w:val="00EF1ABB"/>
    <w:rsid w:val="00EF22EC"/>
    <w:rsid w:val="00EF35EF"/>
    <w:rsid w:val="00EF3DCD"/>
    <w:rsid w:val="00EF3DE9"/>
    <w:rsid w:val="00EF4C42"/>
    <w:rsid w:val="00F04568"/>
    <w:rsid w:val="00F058D1"/>
    <w:rsid w:val="00F06781"/>
    <w:rsid w:val="00F06B25"/>
    <w:rsid w:val="00F06DF1"/>
    <w:rsid w:val="00F07261"/>
    <w:rsid w:val="00F07E73"/>
    <w:rsid w:val="00F13295"/>
    <w:rsid w:val="00F14109"/>
    <w:rsid w:val="00F14EA5"/>
    <w:rsid w:val="00F17297"/>
    <w:rsid w:val="00F207F2"/>
    <w:rsid w:val="00F25945"/>
    <w:rsid w:val="00F2761F"/>
    <w:rsid w:val="00F310A8"/>
    <w:rsid w:val="00F31593"/>
    <w:rsid w:val="00F35F2E"/>
    <w:rsid w:val="00F36531"/>
    <w:rsid w:val="00F44766"/>
    <w:rsid w:val="00F50B18"/>
    <w:rsid w:val="00F548F7"/>
    <w:rsid w:val="00F5537A"/>
    <w:rsid w:val="00F56843"/>
    <w:rsid w:val="00F61923"/>
    <w:rsid w:val="00F647E1"/>
    <w:rsid w:val="00F660E4"/>
    <w:rsid w:val="00F7210C"/>
    <w:rsid w:val="00F80F61"/>
    <w:rsid w:val="00F8106D"/>
    <w:rsid w:val="00F81844"/>
    <w:rsid w:val="00F85376"/>
    <w:rsid w:val="00F92F5D"/>
    <w:rsid w:val="00F9644A"/>
    <w:rsid w:val="00FA049B"/>
    <w:rsid w:val="00FA242C"/>
    <w:rsid w:val="00FA6096"/>
    <w:rsid w:val="00FA7324"/>
    <w:rsid w:val="00FB1254"/>
    <w:rsid w:val="00FB67B5"/>
    <w:rsid w:val="00FC3A70"/>
    <w:rsid w:val="00FD0605"/>
    <w:rsid w:val="00FD4ECF"/>
    <w:rsid w:val="00FD59FA"/>
    <w:rsid w:val="00FD5DAD"/>
    <w:rsid w:val="00FD6291"/>
    <w:rsid w:val="00FE3466"/>
    <w:rsid w:val="00FF5816"/>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caption" w:qFormat="1"/>
    <w:lsdException w:name="List Number" w:semiHidden="0" w:unhideWhenUsed="0"/>
    <w:lsdException w:name="List 4" w:semiHidden="0" w:unhideWhenUsed="0"/>
    <w:lsdException w:name="List 5" w:semiHidden="0" w:uiPriority="99" w:unhideWhenUsed="0"/>
    <w:lsdException w:name="List Bullet 2" w:uiPriority="99"/>
    <w:lsdException w:name="List Bullet 3" w:uiPriority="99"/>
    <w:lsdException w:name="Title" w:semiHidden="0" w:unhideWhenUsed="0" w:qFormat="1"/>
    <w:lsdException w:name="Body Text" w:uiPriority="99"/>
    <w:lsdException w:name="Body Text Indent" w:uiPriority="99"/>
    <w:lsdException w:name="List Continue 3"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BCD"/>
    <w:pPr>
      <w:widowControl w:val="0"/>
      <w:autoSpaceDE w:val="0"/>
      <w:autoSpaceDN w:val="0"/>
      <w:adjustRightInd w:val="0"/>
      <w:spacing w:line="360" w:lineRule="auto"/>
      <w:jc w:val="both"/>
    </w:pPr>
    <w:rPr>
      <w:rFonts w:ascii="Arial" w:hAnsi="Arial"/>
      <w:sz w:val="22"/>
      <w:szCs w:val="24"/>
    </w:rPr>
  </w:style>
  <w:style w:type="paragraph" w:styleId="Ttulo1">
    <w:name w:val="heading 1"/>
    <w:aliases w:val="Título 1bis"/>
    <w:basedOn w:val="Normal"/>
    <w:next w:val="Normal"/>
    <w:link w:val="Ttulo1Car"/>
    <w:qFormat/>
    <w:rsid w:val="00E635FF"/>
    <w:pPr>
      <w:keepNext/>
      <w:widowControl/>
      <w:numPr>
        <w:numId w:val="37"/>
      </w:numPr>
      <w:autoSpaceDE/>
      <w:autoSpaceDN/>
      <w:adjustRightInd/>
      <w:spacing w:before="120" w:after="120"/>
      <w:jc w:val="center"/>
      <w:outlineLvl w:val="0"/>
    </w:pPr>
    <w:rPr>
      <w:rFonts w:ascii="Arial Negrita" w:hAnsi="Arial Negrita"/>
      <w:b/>
      <w:caps/>
      <w:kern w:val="28"/>
      <w:sz w:val="28"/>
      <w:szCs w:val="28"/>
      <w:u w:val="single"/>
    </w:rPr>
  </w:style>
  <w:style w:type="paragraph" w:styleId="Ttulo2">
    <w:name w:val="heading 2"/>
    <w:basedOn w:val="Normal"/>
    <w:next w:val="Ttulo3"/>
    <w:link w:val="Ttulo2Car"/>
    <w:autoRedefine/>
    <w:qFormat/>
    <w:rsid w:val="00EF3DE9"/>
    <w:pPr>
      <w:keepNext/>
      <w:widowControl/>
      <w:tabs>
        <w:tab w:val="left" w:pos="2268"/>
      </w:tabs>
      <w:suppressAutoHyphens/>
      <w:autoSpaceDE/>
      <w:autoSpaceDN/>
      <w:adjustRightInd/>
      <w:snapToGrid w:val="0"/>
      <w:spacing w:before="120" w:after="240"/>
      <w:outlineLvl w:val="1"/>
    </w:pPr>
    <w:rPr>
      <w:b/>
      <w:caps/>
      <w:szCs w:val="22"/>
    </w:rPr>
  </w:style>
  <w:style w:type="paragraph" w:styleId="Ttulo3">
    <w:name w:val="heading 3"/>
    <w:basedOn w:val="Normal"/>
    <w:next w:val="Normal"/>
    <w:link w:val="Ttulo3Car"/>
    <w:autoRedefine/>
    <w:qFormat/>
    <w:rsid w:val="00C04FE4"/>
    <w:pPr>
      <w:keepNext/>
      <w:numPr>
        <w:ilvl w:val="2"/>
        <w:numId w:val="1"/>
      </w:numPr>
      <w:autoSpaceDE/>
      <w:autoSpaceDN/>
      <w:adjustRightInd/>
      <w:outlineLvl w:val="2"/>
    </w:pPr>
    <w:rPr>
      <w:rFonts w:ascii="Arial Negrita" w:hAnsi="Arial Negrita"/>
      <w:b/>
      <w:snapToGrid w:val="0"/>
    </w:rPr>
  </w:style>
  <w:style w:type="paragraph" w:styleId="Ttulo4">
    <w:name w:val="heading 4"/>
    <w:basedOn w:val="Normal"/>
    <w:next w:val="Normal"/>
    <w:link w:val="Ttulo4Car"/>
    <w:qFormat/>
    <w:rsid w:val="00796B4E"/>
    <w:pPr>
      <w:keepNext/>
      <w:spacing w:before="240" w:after="60"/>
      <w:outlineLvl w:val="3"/>
    </w:pPr>
    <w:rPr>
      <w:b/>
      <w:bCs/>
      <w:szCs w:val="28"/>
    </w:rPr>
  </w:style>
  <w:style w:type="paragraph" w:styleId="Ttulo5">
    <w:name w:val="heading 5"/>
    <w:basedOn w:val="Normal"/>
    <w:next w:val="Normal"/>
    <w:link w:val="Ttulo5Car"/>
    <w:qFormat/>
    <w:rsid w:val="0018385B"/>
    <w:pPr>
      <w:widowControl/>
      <w:numPr>
        <w:ilvl w:val="4"/>
        <w:numId w:val="4"/>
      </w:numPr>
      <w:autoSpaceDE/>
      <w:autoSpaceDN/>
      <w:adjustRightInd/>
      <w:spacing w:before="240" w:after="60"/>
      <w:outlineLvl w:val="4"/>
    </w:pPr>
    <w:rPr>
      <w:b/>
      <w:bCs/>
      <w:i/>
      <w:iCs/>
      <w:sz w:val="26"/>
      <w:szCs w:val="26"/>
    </w:rPr>
  </w:style>
  <w:style w:type="paragraph" w:styleId="Ttulo6">
    <w:name w:val="heading 6"/>
    <w:basedOn w:val="Normal"/>
    <w:next w:val="Normal"/>
    <w:link w:val="Ttulo6Car"/>
    <w:qFormat/>
    <w:rsid w:val="0018385B"/>
    <w:pPr>
      <w:widowControl/>
      <w:numPr>
        <w:ilvl w:val="5"/>
        <w:numId w:val="4"/>
      </w:numPr>
      <w:autoSpaceDE/>
      <w:autoSpaceDN/>
      <w:adjustRightInd/>
      <w:spacing w:before="240" w:after="60"/>
      <w:outlineLvl w:val="5"/>
    </w:pPr>
    <w:rPr>
      <w:b/>
      <w:bCs/>
      <w:szCs w:val="22"/>
    </w:rPr>
  </w:style>
  <w:style w:type="paragraph" w:styleId="Ttulo7">
    <w:name w:val="heading 7"/>
    <w:basedOn w:val="Normal"/>
    <w:next w:val="Normal"/>
    <w:link w:val="Ttulo7Car"/>
    <w:uiPriority w:val="99"/>
    <w:qFormat/>
    <w:rsid w:val="0018385B"/>
    <w:pPr>
      <w:widowControl/>
      <w:numPr>
        <w:ilvl w:val="6"/>
        <w:numId w:val="4"/>
      </w:numPr>
      <w:autoSpaceDE/>
      <w:autoSpaceDN/>
      <w:adjustRightInd/>
      <w:spacing w:before="240" w:after="60"/>
      <w:outlineLvl w:val="6"/>
    </w:pPr>
    <w:rPr>
      <w:sz w:val="24"/>
      <w:szCs w:val="20"/>
    </w:rPr>
  </w:style>
  <w:style w:type="paragraph" w:styleId="Ttulo8">
    <w:name w:val="heading 8"/>
    <w:basedOn w:val="Normal"/>
    <w:next w:val="Normal"/>
    <w:link w:val="Ttulo8Car"/>
    <w:uiPriority w:val="99"/>
    <w:qFormat/>
    <w:rsid w:val="0018385B"/>
    <w:pPr>
      <w:widowControl/>
      <w:numPr>
        <w:ilvl w:val="7"/>
        <w:numId w:val="4"/>
      </w:numPr>
      <w:autoSpaceDE/>
      <w:autoSpaceDN/>
      <w:adjustRightInd/>
      <w:spacing w:before="240" w:after="60"/>
      <w:outlineLvl w:val="7"/>
    </w:pPr>
    <w:rPr>
      <w:i/>
      <w:iCs/>
      <w:sz w:val="24"/>
      <w:szCs w:val="20"/>
    </w:rPr>
  </w:style>
  <w:style w:type="paragraph" w:styleId="Ttulo9">
    <w:name w:val="heading 9"/>
    <w:basedOn w:val="Normal"/>
    <w:next w:val="Normal"/>
    <w:link w:val="Ttulo9Car"/>
    <w:uiPriority w:val="99"/>
    <w:qFormat/>
    <w:rsid w:val="0018385B"/>
    <w:pPr>
      <w:widowControl/>
      <w:numPr>
        <w:ilvl w:val="8"/>
        <w:numId w:val="4"/>
      </w:numPr>
      <w:autoSpaceDE/>
      <w:autoSpaceDN/>
      <w:adjustRightInd/>
      <w:spacing w:before="240" w:after="60"/>
      <w:outlineLvl w:val="8"/>
    </w:pPr>
    <w:rPr>
      <w:rFonts w:cs="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EF3DE9"/>
    <w:rPr>
      <w:rFonts w:ascii="Arial" w:hAnsi="Arial"/>
      <w:b/>
      <w:caps/>
      <w:sz w:val="22"/>
      <w:szCs w:val="22"/>
    </w:rPr>
  </w:style>
  <w:style w:type="character" w:customStyle="1" w:styleId="Ttulo1Car">
    <w:name w:val="Título 1 Car"/>
    <w:aliases w:val="Título 1bis Car"/>
    <w:link w:val="Ttulo1"/>
    <w:rsid w:val="00E635FF"/>
    <w:rPr>
      <w:rFonts w:ascii="Arial Negrita" w:hAnsi="Arial Negrita"/>
      <w:b/>
      <w:caps/>
      <w:kern w:val="28"/>
      <w:sz w:val="28"/>
      <w:szCs w:val="28"/>
      <w:u w:val="single"/>
    </w:rPr>
  </w:style>
  <w:style w:type="paragraph" w:styleId="Encabezado">
    <w:name w:val="header"/>
    <w:aliases w:val="encabezado,Encabezado 2,Header1,EPTISA_Encabezado_Pagina"/>
    <w:basedOn w:val="Normal"/>
    <w:link w:val="EncabezadoCar"/>
    <w:rsid w:val="00745A90"/>
    <w:pPr>
      <w:tabs>
        <w:tab w:val="center" w:pos="4252"/>
        <w:tab w:val="right" w:pos="8504"/>
      </w:tabs>
    </w:pPr>
  </w:style>
  <w:style w:type="paragraph" w:styleId="Piedepgina">
    <w:name w:val="footer"/>
    <w:aliases w:val="pie de página,Pie de página Car Car"/>
    <w:basedOn w:val="Normal"/>
    <w:link w:val="PiedepginaCar"/>
    <w:rsid w:val="00745A90"/>
    <w:pPr>
      <w:tabs>
        <w:tab w:val="center" w:pos="4252"/>
        <w:tab w:val="right" w:pos="8504"/>
      </w:tabs>
    </w:pPr>
  </w:style>
  <w:style w:type="character" w:customStyle="1" w:styleId="PiedepginaCar">
    <w:name w:val="Pie de página Car"/>
    <w:aliases w:val="pie de página Car,Pie de página Car Car Car"/>
    <w:link w:val="Piedepgina"/>
    <w:rsid w:val="0076349D"/>
    <w:rPr>
      <w:rFonts w:ascii="Arial" w:hAnsi="Arial"/>
      <w:sz w:val="22"/>
      <w:szCs w:val="24"/>
      <w:lang w:val="es-ES" w:eastAsia="es-ES" w:bidi="ar-SA"/>
    </w:rPr>
  </w:style>
  <w:style w:type="character" w:styleId="Nmerodepgina">
    <w:name w:val="page number"/>
    <w:basedOn w:val="Fuentedeprrafopredeter"/>
    <w:rsid w:val="00E55773"/>
  </w:style>
  <w:style w:type="paragraph" w:styleId="TDC2">
    <w:name w:val="toc 2"/>
    <w:basedOn w:val="Normal"/>
    <w:next w:val="Normal"/>
    <w:autoRedefine/>
    <w:uiPriority w:val="39"/>
    <w:rsid w:val="00F647E1"/>
    <w:pPr>
      <w:tabs>
        <w:tab w:val="left" w:pos="958"/>
        <w:tab w:val="right" w:leader="dot" w:pos="8777"/>
      </w:tabs>
      <w:ind w:left="777" w:hanging="539"/>
    </w:pPr>
  </w:style>
  <w:style w:type="paragraph" w:styleId="TDC1">
    <w:name w:val="toc 1"/>
    <w:basedOn w:val="Normal"/>
    <w:next w:val="Normal"/>
    <w:autoRedefine/>
    <w:uiPriority w:val="39"/>
    <w:rsid w:val="00F647E1"/>
    <w:pPr>
      <w:tabs>
        <w:tab w:val="left" w:pos="482"/>
        <w:tab w:val="right" w:leader="dot" w:pos="8777"/>
      </w:tabs>
      <w:spacing w:before="120" w:after="120"/>
    </w:pPr>
    <w:rPr>
      <w:b/>
    </w:rPr>
  </w:style>
  <w:style w:type="paragraph" w:styleId="TDC3">
    <w:name w:val="toc 3"/>
    <w:basedOn w:val="Normal"/>
    <w:next w:val="Normal"/>
    <w:autoRedefine/>
    <w:uiPriority w:val="39"/>
    <w:rsid w:val="00063FE0"/>
    <w:pPr>
      <w:tabs>
        <w:tab w:val="left" w:pos="1202"/>
        <w:tab w:val="right" w:leader="dot" w:pos="8777"/>
      </w:tabs>
      <w:spacing w:before="120" w:after="120" w:line="240" w:lineRule="auto"/>
      <w:ind w:left="403"/>
    </w:pPr>
    <w:rPr>
      <w:sz w:val="20"/>
    </w:rPr>
  </w:style>
  <w:style w:type="character" w:styleId="Hipervnculo">
    <w:name w:val="Hyperlink"/>
    <w:uiPriority w:val="99"/>
    <w:rsid w:val="00F647E1"/>
    <w:rPr>
      <w:color w:val="0000FF"/>
      <w:u w:val="single"/>
    </w:rPr>
  </w:style>
  <w:style w:type="paragraph" w:customStyle="1" w:styleId="normalCar">
    <w:name w:val="normal Car"/>
    <w:basedOn w:val="Normal"/>
    <w:uiPriority w:val="99"/>
    <w:rsid w:val="00921AFE"/>
    <w:pPr>
      <w:widowControl/>
      <w:autoSpaceDE/>
      <w:autoSpaceDN/>
      <w:adjustRightInd/>
      <w:spacing w:before="240"/>
    </w:pPr>
    <w:rPr>
      <w:rFonts w:cs="Arial"/>
    </w:rPr>
  </w:style>
  <w:style w:type="paragraph" w:customStyle="1" w:styleId="vietas3">
    <w:name w:val="viñetas 3"/>
    <w:uiPriority w:val="99"/>
    <w:rsid w:val="00B45BD6"/>
    <w:pPr>
      <w:numPr>
        <w:numId w:val="2"/>
      </w:numPr>
      <w:tabs>
        <w:tab w:val="clear" w:pos="1891"/>
        <w:tab w:val="left" w:pos="1814"/>
      </w:tabs>
      <w:spacing w:before="120" w:after="240" w:line="360" w:lineRule="auto"/>
      <w:ind w:left="1815" w:hanging="397"/>
    </w:pPr>
    <w:rPr>
      <w:rFonts w:ascii="Arial" w:hAnsi="Arial"/>
      <w:sz w:val="22"/>
      <w:szCs w:val="22"/>
      <w:lang w:val="es-ES_tradnl"/>
    </w:rPr>
  </w:style>
  <w:style w:type="table" w:styleId="Tablaconcuadrcula">
    <w:name w:val="Table Grid"/>
    <w:basedOn w:val="Tablanormal"/>
    <w:rsid w:val="005D7FBF"/>
    <w:pPr>
      <w:widowControl w:val="0"/>
      <w:autoSpaceDE w:val="0"/>
      <w:autoSpaceDN w:val="0"/>
      <w:adjustRightInd w:val="0"/>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ieta2">
    <w:name w:val="viñeta 2"/>
    <w:basedOn w:val="Normal"/>
    <w:uiPriority w:val="99"/>
    <w:rsid w:val="00171AFC"/>
    <w:pPr>
      <w:widowControl/>
      <w:numPr>
        <w:numId w:val="3"/>
      </w:numPr>
      <w:autoSpaceDE/>
      <w:autoSpaceDN/>
      <w:adjustRightInd/>
    </w:pPr>
    <w:rPr>
      <w:sz w:val="24"/>
      <w:szCs w:val="20"/>
    </w:rPr>
  </w:style>
  <w:style w:type="paragraph" w:customStyle="1" w:styleId="Elemento1">
    <w:name w:val="Elemento 1"/>
    <w:uiPriority w:val="99"/>
    <w:rsid w:val="00E52387"/>
    <w:pPr>
      <w:widowControl w:val="0"/>
      <w:autoSpaceDE w:val="0"/>
      <w:autoSpaceDN w:val="0"/>
      <w:adjustRightInd w:val="0"/>
    </w:pPr>
    <w:rPr>
      <w:rFonts w:ascii="Arial Narrow" w:hAnsi="Arial Narrow"/>
      <w:sz w:val="24"/>
      <w:szCs w:val="24"/>
    </w:rPr>
  </w:style>
  <w:style w:type="paragraph" w:customStyle="1" w:styleId="Finelemento1">
    <w:name w:val="Fin elemento 1"/>
    <w:uiPriority w:val="99"/>
    <w:rsid w:val="00E52387"/>
    <w:pPr>
      <w:widowControl w:val="0"/>
      <w:autoSpaceDE w:val="0"/>
      <w:autoSpaceDN w:val="0"/>
      <w:adjustRightInd w:val="0"/>
    </w:pPr>
    <w:rPr>
      <w:rFonts w:ascii="Arial Narrow" w:hAnsi="Arial Narrow"/>
      <w:sz w:val="24"/>
      <w:szCs w:val="24"/>
    </w:rPr>
  </w:style>
  <w:style w:type="paragraph" w:customStyle="1" w:styleId="Final">
    <w:name w:val="Final"/>
    <w:uiPriority w:val="99"/>
    <w:rsid w:val="00E52387"/>
    <w:pPr>
      <w:widowControl w:val="0"/>
      <w:autoSpaceDE w:val="0"/>
      <w:autoSpaceDN w:val="0"/>
      <w:adjustRightInd w:val="0"/>
    </w:pPr>
    <w:rPr>
      <w:rFonts w:ascii="Arial Narrow" w:hAnsi="Arial Narrow"/>
      <w:sz w:val="24"/>
      <w:szCs w:val="24"/>
    </w:rPr>
  </w:style>
  <w:style w:type="paragraph" w:customStyle="1" w:styleId="NormMFC">
    <w:name w:val="NormMFC"/>
    <w:basedOn w:val="Normal"/>
    <w:uiPriority w:val="99"/>
    <w:rsid w:val="00E27A6F"/>
    <w:pPr>
      <w:widowControl/>
      <w:autoSpaceDE/>
      <w:autoSpaceDN/>
      <w:adjustRightInd/>
      <w:spacing w:before="120" w:after="240"/>
    </w:pPr>
    <w:rPr>
      <w:sz w:val="20"/>
    </w:rPr>
  </w:style>
  <w:style w:type="paragraph" w:customStyle="1" w:styleId="Tablatexto">
    <w:name w:val="Tabla texto"/>
    <w:basedOn w:val="Normal"/>
    <w:uiPriority w:val="99"/>
    <w:rsid w:val="00DA1BB8"/>
    <w:pPr>
      <w:widowControl/>
      <w:autoSpaceDE/>
      <w:autoSpaceDN/>
      <w:adjustRightInd/>
      <w:spacing w:before="40" w:after="40" w:line="240" w:lineRule="auto"/>
      <w:jc w:val="center"/>
    </w:pPr>
    <w:rPr>
      <w:i/>
      <w:snapToGrid w:val="0"/>
      <w:sz w:val="20"/>
      <w:szCs w:val="20"/>
      <w:lang w:val="es-ES_tradnl"/>
    </w:rPr>
  </w:style>
  <w:style w:type="paragraph" w:customStyle="1" w:styleId="TablaEncabezado">
    <w:name w:val="Tabla Encabezado"/>
    <w:basedOn w:val="Normal"/>
    <w:uiPriority w:val="99"/>
    <w:rsid w:val="00DA1BB8"/>
    <w:pPr>
      <w:widowControl/>
      <w:autoSpaceDE/>
      <w:autoSpaceDN/>
      <w:adjustRightInd/>
      <w:spacing w:before="40" w:after="40" w:line="240" w:lineRule="auto"/>
      <w:contextualSpacing/>
      <w:jc w:val="center"/>
    </w:pPr>
    <w:rPr>
      <w:rFonts w:ascii="Arial Negrita" w:hAnsi="Arial Negrita"/>
      <w:b/>
      <w:i/>
      <w:snapToGrid w:val="0"/>
      <w:sz w:val="20"/>
      <w:szCs w:val="20"/>
      <w:lang w:val="es-ES_tradnl"/>
    </w:rPr>
  </w:style>
  <w:style w:type="character" w:customStyle="1" w:styleId="EncabezadoCar">
    <w:name w:val="Encabezado Car"/>
    <w:aliases w:val="encabezado Car,Encabezado 2 Car,Header1 Car,EPTISA_Encabezado_Pagina Car"/>
    <w:link w:val="Encabezado"/>
    <w:rsid w:val="00CD3509"/>
    <w:rPr>
      <w:rFonts w:ascii="Arial" w:hAnsi="Arial"/>
      <w:sz w:val="22"/>
      <w:szCs w:val="24"/>
    </w:rPr>
  </w:style>
  <w:style w:type="paragraph" w:styleId="TDC4">
    <w:name w:val="toc 4"/>
    <w:basedOn w:val="Normal"/>
    <w:next w:val="Normal"/>
    <w:autoRedefine/>
    <w:uiPriority w:val="39"/>
    <w:unhideWhenUsed/>
    <w:rsid w:val="00262DA8"/>
    <w:pPr>
      <w:widowControl/>
      <w:autoSpaceDE/>
      <w:autoSpaceDN/>
      <w:adjustRightInd/>
      <w:spacing w:after="100" w:line="276" w:lineRule="auto"/>
      <w:ind w:left="660"/>
      <w:jc w:val="left"/>
    </w:pPr>
    <w:rPr>
      <w:rFonts w:ascii="Calibri" w:hAnsi="Calibri"/>
      <w:szCs w:val="22"/>
    </w:rPr>
  </w:style>
  <w:style w:type="paragraph" w:styleId="TDC5">
    <w:name w:val="toc 5"/>
    <w:basedOn w:val="Normal"/>
    <w:next w:val="Normal"/>
    <w:autoRedefine/>
    <w:uiPriority w:val="39"/>
    <w:unhideWhenUsed/>
    <w:rsid w:val="00262DA8"/>
    <w:pPr>
      <w:widowControl/>
      <w:autoSpaceDE/>
      <w:autoSpaceDN/>
      <w:adjustRightInd/>
      <w:spacing w:after="100" w:line="276" w:lineRule="auto"/>
      <w:ind w:left="880"/>
      <w:jc w:val="left"/>
    </w:pPr>
    <w:rPr>
      <w:rFonts w:ascii="Calibri" w:hAnsi="Calibri"/>
      <w:szCs w:val="22"/>
    </w:rPr>
  </w:style>
  <w:style w:type="paragraph" w:styleId="TDC6">
    <w:name w:val="toc 6"/>
    <w:basedOn w:val="Normal"/>
    <w:next w:val="Normal"/>
    <w:autoRedefine/>
    <w:uiPriority w:val="39"/>
    <w:unhideWhenUsed/>
    <w:rsid w:val="00262DA8"/>
    <w:pPr>
      <w:widowControl/>
      <w:autoSpaceDE/>
      <w:autoSpaceDN/>
      <w:adjustRightInd/>
      <w:spacing w:after="100" w:line="276" w:lineRule="auto"/>
      <w:ind w:left="1100"/>
      <w:jc w:val="left"/>
    </w:pPr>
    <w:rPr>
      <w:rFonts w:ascii="Calibri" w:hAnsi="Calibri"/>
      <w:szCs w:val="22"/>
    </w:rPr>
  </w:style>
  <w:style w:type="paragraph" w:styleId="TDC7">
    <w:name w:val="toc 7"/>
    <w:basedOn w:val="Normal"/>
    <w:next w:val="Normal"/>
    <w:autoRedefine/>
    <w:uiPriority w:val="39"/>
    <w:unhideWhenUsed/>
    <w:rsid w:val="00262DA8"/>
    <w:pPr>
      <w:widowControl/>
      <w:autoSpaceDE/>
      <w:autoSpaceDN/>
      <w:adjustRightInd/>
      <w:spacing w:after="100" w:line="276" w:lineRule="auto"/>
      <w:ind w:left="1320"/>
      <w:jc w:val="left"/>
    </w:pPr>
    <w:rPr>
      <w:rFonts w:ascii="Calibri" w:hAnsi="Calibri"/>
      <w:szCs w:val="22"/>
    </w:rPr>
  </w:style>
  <w:style w:type="paragraph" w:styleId="TDC8">
    <w:name w:val="toc 8"/>
    <w:basedOn w:val="Normal"/>
    <w:next w:val="Normal"/>
    <w:autoRedefine/>
    <w:uiPriority w:val="39"/>
    <w:unhideWhenUsed/>
    <w:rsid w:val="00262DA8"/>
    <w:pPr>
      <w:widowControl/>
      <w:autoSpaceDE/>
      <w:autoSpaceDN/>
      <w:adjustRightInd/>
      <w:spacing w:after="100" w:line="276" w:lineRule="auto"/>
      <w:ind w:left="1540"/>
      <w:jc w:val="left"/>
    </w:pPr>
    <w:rPr>
      <w:rFonts w:ascii="Calibri" w:hAnsi="Calibri"/>
      <w:szCs w:val="22"/>
    </w:rPr>
  </w:style>
  <w:style w:type="paragraph" w:styleId="TDC9">
    <w:name w:val="toc 9"/>
    <w:basedOn w:val="Normal"/>
    <w:next w:val="Normal"/>
    <w:autoRedefine/>
    <w:uiPriority w:val="39"/>
    <w:unhideWhenUsed/>
    <w:rsid w:val="00262DA8"/>
    <w:pPr>
      <w:widowControl/>
      <w:autoSpaceDE/>
      <w:autoSpaceDN/>
      <w:adjustRightInd/>
      <w:spacing w:after="100" w:line="276" w:lineRule="auto"/>
      <w:ind w:left="1760"/>
      <w:jc w:val="left"/>
    </w:pPr>
    <w:rPr>
      <w:rFonts w:ascii="Calibri" w:hAnsi="Calibri"/>
      <w:szCs w:val="22"/>
    </w:rPr>
  </w:style>
  <w:style w:type="paragraph" w:styleId="Textocomentario">
    <w:name w:val="annotation text"/>
    <w:basedOn w:val="Normal"/>
    <w:link w:val="TextocomentarioCar"/>
    <w:uiPriority w:val="99"/>
    <w:rsid w:val="0064521B"/>
    <w:pPr>
      <w:tabs>
        <w:tab w:val="left" w:pos="-1329"/>
        <w:tab w:val="left" w:pos="-720"/>
        <w:tab w:val="left" w:pos="0"/>
        <w:tab w:val="left" w:pos="294"/>
        <w:tab w:val="left" w:pos="577"/>
        <w:tab w:val="left" w:pos="860"/>
        <w:tab w:val="left" w:pos="1144"/>
        <w:tab w:val="left" w:pos="1440"/>
        <w:tab w:val="left" w:pos="1711"/>
        <w:tab w:val="left" w:pos="1994"/>
        <w:tab w:val="left" w:pos="2278"/>
        <w:tab w:val="left" w:pos="2562"/>
        <w:tab w:val="left" w:pos="2845"/>
        <w:tab w:val="left" w:pos="3600"/>
        <w:tab w:val="left" w:pos="4320"/>
        <w:tab w:val="left" w:pos="5040"/>
        <w:tab w:val="left" w:pos="5760"/>
        <w:tab w:val="left" w:pos="6480"/>
        <w:tab w:val="left" w:pos="7200"/>
      </w:tabs>
      <w:spacing w:before="120" w:after="120"/>
    </w:pPr>
    <w:rPr>
      <w:rFonts w:cs="Arial"/>
      <w:sz w:val="20"/>
      <w:szCs w:val="20"/>
      <w:lang w:val="es-ES_tradnl"/>
    </w:rPr>
  </w:style>
  <w:style w:type="character" w:customStyle="1" w:styleId="TextocomentarioCar">
    <w:name w:val="Texto comentario Car"/>
    <w:basedOn w:val="Fuentedeprrafopredeter"/>
    <w:link w:val="Textocomentario"/>
    <w:uiPriority w:val="99"/>
    <w:rsid w:val="0064521B"/>
    <w:rPr>
      <w:rFonts w:ascii="Arial" w:hAnsi="Arial" w:cs="Arial"/>
      <w:lang w:val="es-ES_tradnl"/>
    </w:rPr>
  </w:style>
  <w:style w:type="paragraph" w:styleId="Textoindependiente2">
    <w:name w:val="Body Text 2"/>
    <w:basedOn w:val="Normal"/>
    <w:link w:val="Textoindependiente2Car"/>
    <w:rsid w:val="0064521B"/>
    <w:pPr>
      <w:widowControl/>
      <w:autoSpaceDE/>
      <w:autoSpaceDN/>
      <w:adjustRightInd/>
      <w:spacing w:after="120" w:line="480" w:lineRule="auto"/>
      <w:ind w:firstLine="567"/>
    </w:pPr>
    <w:rPr>
      <w:szCs w:val="22"/>
    </w:rPr>
  </w:style>
  <w:style w:type="character" w:customStyle="1" w:styleId="Textoindependiente2Car">
    <w:name w:val="Texto independiente 2 Car"/>
    <w:basedOn w:val="Fuentedeprrafopredeter"/>
    <w:link w:val="Textoindependiente2"/>
    <w:rsid w:val="0064521B"/>
    <w:rPr>
      <w:rFonts w:ascii="Arial" w:hAnsi="Arial"/>
      <w:sz w:val="22"/>
      <w:szCs w:val="22"/>
    </w:rPr>
  </w:style>
  <w:style w:type="character" w:customStyle="1" w:styleId="apple-converted-space">
    <w:name w:val="apple-converted-space"/>
    <w:basedOn w:val="Fuentedeprrafopredeter"/>
    <w:rsid w:val="006F3B98"/>
  </w:style>
  <w:style w:type="paragraph" w:styleId="Textodeglobo">
    <w:name w:val="Balloon Text"/>
    <w:basedOn w:val="Normal"/>
    <w:link w:val="TextodegloboCar"/>
    <w:uiPriority w:val="99"/>
    <w:rsid w:val="0023507B"/>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23507B"/>
    <w:rPr>
      <w:rFonts w:ascii="Tahoma" w:hAnsi="Tahoma" w:cs="Tahoma"/>
      <w:sz w:val="16"/>
      <w:szCs w:val="16"/>
    </w:rPr>
  </w:style>
  <w:style w:type="paragraph" w:styleId="Textoindependiente">
    <w:name w:val="Body Text"/>
    <w:basedOn w:val="Normal"/>
    <w:link w:val="TextoindependienteCar"/>
    <w:uiPriority w:val="99"/>
    <w:semiHidden/>
    <w:unhideWhenUsed/>
    <w:rsid w:val="00D055D6"/>
    <w:pPr>
      <w:spacing w:after="120"/>
    </w:pPr>
  </w:style>
  <w:style w:type="character" w:customStyle="1" w:styleId="TextoindependienteCar">
    <w:name w:val="Texto independiente Car"/>
    <w:basedOn w:val="Fuentedeprrafopredeter"/>
    <w:link w:val="Textoindependiente"/>
    <w:uiPriority w:val="99"/>
    <w:semiHidden/>
    <w:rsid w:val="00D055D6"/>
    <w:rPr>
      <w:rFonts w:ascii="Arial" w:hAnsi="Arial"/>
      <w:sz w:val="22"/>
      <w:szCs w:val="24"/>
    </w:rPr>
  </w:style>
  <w:style w:type="character" w:customStyle="1" w:styleId="Ttulo3Car">
    <w:name w:val="Título 3 Car"/>
    <w:basedOn w:val="Fuentedeprrafopredeter"/>
    <w:link w:val="Ttulo3"/>
    <w:rsid w:val="00C7085E"/>
    <w:rPr>
      <w:rFonts w:ascii="Arial Negrita" w:hAnsi="Arial Negrita"/>
      <w:b/>
      <w:snapToGrid w:val="0"/>
      <w:sz w:val="22"/>
      <w:szCs w:val="24"/>
    </w:rPr>
  </w:style>
  <w:style w:type="character" w:customStyle="1" w:styleId="Ttulo4Car">
    <w:name w:val="Título 4 Car"/>
    <w:basedOn w:val="Fuentedeprrafopredeter"/>
    <w:link w:val="Ttulo4"/>
    <w:rsid w:val="00796B4E"/>
    <w:rPr>
      <w:rFonts w:ascii="Arial" w:hAnsi="Arial"/>
      <w:b/>
      <w:bCs/>
      <w:sz w:val="22"/>
      <w:szCs w:val="28"/>
    </w:rPr>
  </w:style>
  <w:style w:type="character" w:customStyle="1" w:styleId="Ttulo5Car">
    <w:name w:val="Título 5 Car"/>
    <w:basedOn w:val="Fuentedeprrafopredeter"/>
    <w:link w:val="Ttulo5"/>
    <w:rsid w:val="00C7085E"/>
    <w:rPr>
      <w:rFonts w:ascii="Arial" w:hAnsi="Arial"/>
      <w:b/>
      <w:bCs/>
      <w:i/>
      <w:iCs/>
      <w:sz w:val="26"/>
      <w:szCs w:val="26"/>
    </w:rPr>
  </w:style>
  <w:style w:type="character" w:customStyle="1" w:styleId="Ttulo6Car">
    <w:name w:val="Título 6 Car"/>
    <w:basedOn w:val="Fuentedeprrafopredeter"/>
    <w:link w:val="Ttulo6"/>
    <w:rsid w:val="00C7085E"/>
    <w:rPr>
      <w:rFonts w:ascii="Arial" w:hAnsi="Arial"/>
      <w:b/>
      <w:bCs/>
      <w:sz w:val="22"/>
      <w:szCs w:val="22"/>
    </w:rPr>
  </w:style>
  <w:style w:type="character" w:customStyle="1" w:styleId="Ttulo7Car">
    <w:name w:val="Título 7 Car"/>
    <w:basedOn w:val="Fuentedeprrafopredeter"/>
    <w:link w:val="Ttulo7"/>
    <w:uiPriority w:val="99"/>
    <w:rsid w:val="00C7085E"/>
    <w:rPr>
      <w:rFonts w:ascii="Arial" w:hAnsi="Arial"/>
      <w:sz w:val="24"/>
    </w:rPr>
  </w:style>
  <w:style w:type="character" w:customStyle="1" w:styleId="Ttulo8Car">
    <w:name w:val="Título 8 Car"/>
    <w:basedOn w:val="Fuentedeprrafopredeter"/>
    <w:link w:val="Ttulo8"/>
    <w:uiPriority w:val="99"/>
    <w:rsid w:val="00C7085E"/>
    <w:rPr>
      <w:rFonts w:ascii="Arial" w:hAnsi="Arial"/>
      <w:i/>
      <w:iCs/>
      <w:sz w:val="24"/>
    </w:rPr>
  </w:style>
  <w:style w:type="character" w:customStyle="1" w:styleId="Ttulo9Car">
    <w:name w:val="Título 9 Car"/>
    <w:basedOn w:val="Fuentedeprrafopredeter"/>
    <w:link w:val="Ttulo9"/>
    <w:uiPriority w:val="99"/>
    <w:rsid w:val="00C7085E"/>
    <w:rPr>
      <w:rFonts w:ascii="Arial" w:hAnsi="Arial" w:cs="Arial"/>
      <w:sz w:val="22"/>
      <w:szCs w:val="22"/>
    </w:rPr>
  </w:style>
  <w:style w:type="character" w:styleId="Hipervnculovisitado">
    <w:name w:val="FollowedHyperlink"/>
    <w:basedOn w:val="Fuentedeprrafopredeter"/>
    <w:uiPriority w:val="99"/>
    <w:semiHidden/>
    <w:unhideWhenUsed/>
    <w:rsid w:val="00C7085E"/>
    <w:rPr>
      <w:color w:val="800080"/>
      <w:u w:val="single"/>
    </w:rPr>
  </w:style>
  <w:style w:type="paragraph" w:styleId="NormalWeb">
    <w:name w:val="Normal (Web)"/>
    <w:basedOn w:val="Normal"/>
    <w:uiPriority w:val="99"/>
    <w:semiHidden/>
    <w:unhideWhenUsed/>
    <w:rsid w:val="00C7085E"/>
    <w:pPr>
      <w:widowControl/>
      <w:autoSpaceDE/>
      <w:autoSpaceDN/>
      <w:adjustRightInd/>
      <w:spacing w:before="100" w:beforeAutospacing="1" w:after="100" w:afterAutospacing="1" w:line="240" w:lineRule="auto"/>
      <w:jc w:val="left"/>
    </w:pPr>
    <w:rPr>
      <w:rFonts w:ascii="Times New Roman" w:hAnsi="Times New Roman"/>
      <w:sz w:val="24"/>
      <w:lang w:val="es-ES_tradnl" w:eastAsia="es-ES_tradnl"/>
    </w:rPr>
  </w:style>
  <w:style w:type="paragraph" w:styleId="Sangranormal">
    <w:name w:val="Normal Indent"/>
    <w:basedOn w:val="Normal"/>
    <w:next w:val="Normal"/>
    <w:uiPriority w:val="99"/>
    <w:semiHidden/>
    <w:unhideWhenUsed/>
    <w:rsid w:val="00C7085E"/>
    <w:pPr>
      <w:widowControl/>
      <w:tabs>
        <w:tab w:val="left" w:pos="709"/>
      </w:tabs>
      <w:suppressAutoHyphens/>
      <w:autoSpaceDE/>
      <w:autoSpaceDN/>
      <w:adjustRightInd/>
      <w:spacing w:after="240" w:line="240" w:lineRule="atLeast"/>
      <w:ind w:left="708"/>
    </w:pPr>
    <w:rPr>
      <w:rFonts w:ascii="Times New Roman" w:hAnsi="Times New Roman"/>
      <w:szCs w:val="20"/>
    </w:rPr>
  </w:style>
  <w:style w:type="character" w:customStyle="1" w:styleId="EncabezadoCar1">
    <w:name w:val="Encabezado Car1"/>
    <w:aliases w:val="encabezado Car1"/>
    <w:basedOn w:val="Fuentedeprrafopredeter"/>
    <w:uiPriority w:val="99"/>
    <w:semiHidden/>
    <w:rsid w:val="00C7085E"/>
    <w:rPr>
      <w:rFonts w:ascii="Arial" w:hAnsi="Arial"/>
      <w:sz w:val="22"/>
      <w:szCs w:val="24"/>
      <w:lang w:val="es-ES_tradnl" w:eastAsia="es-ES_tradnl"/>
    </w:rPr>
  </w:style>
  <w:style w:type="paragraph" w:styleId="Lista5">
    <w:name w:val="List 5"/>
    <w:basedOn w:val="Normal"/>
    <w:uiPriority w:val="99"/>
    <w:unhideWhenUsed/>
    <w:rsid w:val="00C7085E"/>
    <w:pPr>
      <w:widowControl/>
      <w:autoSpaceDE/>
      <w:autoSpaceDN/>
      <w:adjustRightInd/>
      <w:spacing w:after="240" w:line="288" w:lineRule="auto"/>
      <w:ind w:left="1415" w:hanging="283"/>
    </w:pPr>
    <w:rPr>
      <w:lang w:val="es-ES_tradnl"/>
    </w:rPr>
  </w:style>
  <w:style w:type="paragraph" w:styleId="Listaconvietas2">
    <w:name w:val="List Bullet 2"/>
    <w:basedOn w:val="Normal"/>
    <w:uiPriority w:val="99"/>
    <w:semiHidden/>
    <w:unhideWhenUsed/>
    <w:rsid w:val="00C7085E"/>
    <w:pPr>
      <w:widowControl/>
      <w:tabs>
        <w:tab w:val="num" w:pos="927"/>
      </w:tabs>
      <w:suppressAutoHyphens/>
      <w:autoSpaceDE/>
      <w:autoSpaceDN/>
      <w:adjustRightInd/>
      <w:spacing w:after="240" w:line="312" w:lineRule="auto"/>
      <w:ind w:left="907" w:hanging="340"/>
    </w:pPr>
    <w:rPr>
      <w:rFonts w:ascii="Frutiger-Light" w:hAnsi="Frutiger-Light"/>
      <w:spacing w:val="-3"/>
      <w:sz w:val="24"/>
      <w:szCs w:val="20"/>
    </w:rPr>
  </w:style>
  <w:style w:type="paragraph" w:styleId="Listaconvietas3">
    <w:name w:val="List Bullet 3"/>
    <w:basedOn w:val="Normal"/>
    <w:uiPriority w:val="99"/>
    <w:semiHidden/>
    <w:unhideWhenUsed/>
    <w:rsid w:val="00C7085E"/>
    <w:pPr>
      <w:widowControl/>
      <w:tabs>
        <w:tab w:val="num" w:pos="926"/>
      </w:tabs>
      <w:spacing w:after="240" w:line="240" w:lineRule="atLeast"/>
      <w:ind w:left="926" w:hanging="360"/>
      <w:contextualSpacing/>
    </w:pPr>
  </w:style>
  <w:style w:type="paragraph" w:styleId="Sangradetextonormal">
    <w:name w:val="Body Text Indent"/>
    <w:basedOn w:val="Normal"/>
    <w:link w:val="SangradetextonormalCar"/>
    <w:uiPriority w:val="99"/>
    <w:semiHidden/>
    <w:unhideWhenUsed/>
    <w:rsid w:val="00C7085E"/>
    <w:pPr>
      <w:widowControl/>
      <w:tabs>
        <w:tab w:val="left" w:pos="567"/>
      </w:tabs>
      <w:autoSpaceDE/>
      <w:autoSpaceDN/>
      <w:adjustRightInd/>
      <w:ind w:firstLine="567"/>
    </w:pPr>
    <w:rPr>
      <w:szCs w:val="20"/>
      <w:lang w:val="es-ES_tradnl"/>
    </w:rPr>
  </w:style>
  <w:style w:type="character" w:customStyle="1" w:styleId="SangradetextonormalCar">
    <w:name w:val="Sangría de texto normal Car"/>
    <w:basedOn w:val="Fuentedeprrafopredeter"/>
    <w:link w:val="Sangradetextonormal"/>
    <w:uiPriority w:val="99"/>
    <w:semiHidden/>
    <w:rsid w:val="00C7085E"/>
    <w:rPr>
      <w:rFonts w:ascii="Arial" w:hAnsi="Arial"/>
      <w:sz w:val="22"/>
      <w:lang w:val="es-ES_tradnl"/>
    </w:rPr>
  </w:style>
  <w:style w:type="paragraph" w:styleId="Continuarlista3">
    <w:name w:val="List Continue 3"/>
    <w:basedOn w:val="Normal"/>
    <w:uiPriority w:val="99"/>
    <w:semiHidden/>
    <w:unhideWhenUsed/>
    <w:rsid w:val="00C7085E"/>
    <w:pPr>
      <w:widowControl/>
      <w:spacing w:after="240" w:line="240" w:lineRule="atLeast"/>
      <w:ind w:left="849"/>
      <w:contextualSpacing/>
    </w:pPr>
  </w:style>
  <w:style w:type="paragraph" w:styleId="Subttulo">
    <w:name w:val="Subtitle"/>
    <w:basedOn w:val="Normal"/>
    <w:next w:val="Normal"/>
    <w:link w:val="SubttuloCar"/>
    <w:uiPriority w:val="99"/>
    <w:qFormat/>
    <w:rsid w:val="00C7085E"/>
    <w:pPr>
      <w:widowControl/>
      <w:spacing w:after="240" w:line="240" w:lineRule="atLeast"/>
    </w:pPr>
    <w:rPr>
      <w:rFonts w:asciiTheme="majorHAnsi" w:eastAsiaTheme="majorEastAsia" w:hAnsiTheme="majorHAnsi" w:cstheme="majorBidi"/>
      <w:i/>
      <w:iCs/>
      <w:color w:val="4F81BD" w:themeColor="accent1"/>
      <w:spacing w:val="15"/>
      <w:sz w:val="24"/>
    </w:rPr>
  </w:style>
  <w:style w:type="character" w:customStyle="1" w:styleId="SubttuloCar">
    <w:name w:val="Subtítulo Car"/>
    <w:basedOn w:val="Fuentedeprrafopredeter"/>
    <w:link w:val="Subttulo"/>
    <w:uiPriority w:val="99"/>
    <w:rsid w:val="00C7085E"/>
    <w:rPr>
      <w:rFonts w:asciiTheme="majorHAnsi" w:eastAsiaTheme="majorEastAsia" w:hAnsiTheme="majorHAnsi" w:cstheme="majorBidi"/>
      <w:i/>
      <w:iCs/>
      <w:color w:val="4F81BD" w:themeColor="accent1"/>
      <w:spacing w:val="15"/>
      <w:sz w:val="24"/>
      <w:szCs w:val="24"/>
    </w:rPr>
  </w:style>
  <w:style w:type="paragraph" w:styleId="Mapadeldocumento">
    <w:name w:val="Document Map"/>
    <w:basedOn w:val="Normal"/>
    <w:link w:val="MapadeldocumentoCar"/>
    <w:uiPriority w:val="99"/>
    <w:semiHidden/>
    <w:unhideWhenUsed/>
    <w:rsid w:val="00C7085E"/>
    <w:pPr>
      <w:widowControl/>
      <w:shd w:val="clear" w:color="auto" w:fill="C6D5EC"/>
      <w:suppressAutoHyphens/>
      <w:autoSpaceDE/>
      <w:autoSpaceDN/>
      <w:adjustRightInd/>
      <w:spacing w:after="240" w:line="240" w:lineRule="atLeast"/>
    </w:pPr>
    <w:rPr>
      <w:rFonts w:ascii="Lucida Grande" w:hAnsi="Lucida Grande"/>
      <w:lang w:val="es-ES_tradnl" w:eastAsia="es-ES_tradnl"/>
    </w:rPr>
  </w:style>
  <w:style w:type="character" w:customStyle="1" w:styleId="MapadeldocumentoCar">
    <w:name w:val="Mapa del documento Car"/>
    <w:basedOn w:val="Fuentedeprrafopredeter"/>
    <w:link w:val="Mapadeldocumento"/>
    <w:uiPriority w:val="99"/>
    <w:semiHidden/>
    <w:rsid w:val="00C7085E"/>
    <w:rPr>
      <w:rFonts w:ascii="Lucida Grande" w:hAnsi="Lucida Grande"/>
      <w:sz w:val="22"/>
      <w:szCs w:val="24"/>
      <w:shd w:val="clear" w:color="auto" w:fill="C6D5EC"/>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7085E"/>
    <w:pPr>
      <w:widowControl/>
      <w:tabs>
        <w:tab w:val="clear" w:pos="-1329"/>
        <w:tab w:val="clear" w:pos="-720"/>
        <w:tab w:val="clear" w:pos="0"/>
        <w:tab w:val="clear" w:pos="294"/>
        <w:tab w:val="clear" w:pos="577"/>
        <w:tab w:val="clear" w:pos="860"/>
        <w:tab w:val="clear" w:pos="1144"/>
        <w:tab w:val="clear" w:pos="1440"/>
        <w:tab w:val="clear" w:pos="1711"/>
        <w:tab w:val="clear" w:pos="1994"/>
        <w:tab w:val="clear" w:pos="2278"/>
        <w:tab w:val="clear" w:pos="2562"/>
        <w:tab w:val="clear" w:pos="2845"/>
        <w:tab w:val="clear" w:pos="3600"/>
        <w:tab w:val="clear" w:pos="4320"/>
        <w:tab w:val="clear" w:pos="5040"/>
        <w:tab w:val="clear" w:pos="5760"/>
        <w:tab w:val="clear" w:pos="6480"/>
        <w:tab w:val="clear" w:pos="7200"/>
      </w:tabs>
      <w:spacing w:before="0" w:after="240" w:line="240" w:lineRule="atLeast"/>
    </w:pPr>
    <w:rPr>
      <w:rFonts w:cs="Times New Roman"/>
      <w:b/>
      <w:bCs/>
      <w:lang w:val="es-ES"/>
    </w:rPr>
  </w:style>
  <w:style w:type="character" w:customStyle="1" w:styleId="AsuntodelcomentarioCar">
    <w:name w:val="Asunto del comentario Car"/>
    <w:basedOn w:val="TextocomentarioCar"/>
    <w:link w:val="Asuntodelcomentario"/>
    <w:uiPriority w:val="99"/>
    <w:semiHidden/>
    <w:rsid w:val="00C7085E"/>
    <w:rPr>
      <w:rFonts w:ascii="Arial" w:hAnsi="Arial" w:cs="Arial"/>
      <w:b/>
      <w:bCs/>
      <w:lang w:val="es-ES_tradnl"/>
    </w:rPr>
  </w:style>
  <w:style w:type="paragraph" w:styleId="Revisin">
    <w:name w:val="Revision"/>
    <w:uiPriority w:val="99"/>
    <w:semiHidden/>
    <w:rsid w:val="00C7085E"/>
    <w:rPr>
      <w:rFonts w:ascii="Arial" w:hAnsi="Arial"/>
      <w:sz w:val="22"/>
      <w:szCs w:val="24"/>
    </w:rPr>
  </w:style>
  <w:style w:type="character" w:customStyle="1" w:styleId="PrrafodelistaCar">
    <w:name w:val="Párrafo de lista Car"/>
    <w:basedOn w:val="Fuentedeprrafopredeter"/>
    <w:link w:val="Prrafodelista"/>
    <w:uiPriority w:val="34"/>
    <w:locked/>
    <w:rsid w:val="00C7085E"/>
    <w:rPr>
      <w:rFonts w:asciiTheme="minorHAnsi" w:eastAsiaTheme="minorHAnsi" w:hAnsiTheme="minorHAnsi" w:cstheme="minorBidi"/>
      <w:sz w:val="22"/>
      <w:szCs w:val="22"/>
      <w:lang w:eastAsia="en-US"/>
    </w:rPr>
  </w:style>
  <w:style w:type="paragraph" w:styleId="Prrafodelista">
    <w:name w:val="List Paragraph"/>
    <w:basedOn w:val="Normal"/>
    <w:link w:val="PrrafodelistaCar"/>
    <w:uiPriority w:val="34"/>
    <w:qFormat/>
    <w:rsid w:val="00C7085E"/>
    <w:pPr>
      <w:widowControl/>
      <w:suppressAutoHyphens/>
      <w:autoSpaceDE/>
      <w:autoSpaceDN/>
      <w:adjustRightInd/>
      <w:spacing w:after="200" w:line="276" w:lineRule="auto"/>
      <w:ind w:left="720"/>
      <w:contextualSpacing/>
    </w:pPr>
    <w:rPr>
      <w:rFonts w:asciiTheme="minorHAnsi" w:eastAsiaTheme="minorHAnsi" w:hAnsiTheme="minorHAnsi" w:cstheme="minorBidi"/>
      <w:szCs w:val="22"/>
      <w:lang w:eastAsia="en-US"/>
    </w:rPr>
  </w:style>
  <w:style w:type="paragraph" w:customStyle="1" w:styleId="Textogeneral">
    <w:name w:val="Texto general"/>
    <w:basedOn w:val="Normal"/>
    <w:uiPriority w:val="99"/>
    <w:rsid w:val="00C7085E"/>
    <w:pPr>
      <w:widowControl/>
      <w:suppressAutoHyphens/>
      <w:autoSpaceDE/>
      <w:autoSpaceDN/>
      <w:adjustRightInd/>
      <w:spacing w:after="240" w:line="240" w:lineRule="exact"/>
      <w:ind w:firstLine="284"/>
      <w:outlineLvl w:val="0"/>
    </w:pPr>
    <w:rPr>
      <w:sz w:val="20"/>
      <w:lang w:val="es-ES_tradnl" w:eastAsia="es-ES_tradnl"/>
    </w:rPr>
  </w:style>
  <w:style w:type="paragraph" w:customStyle="1" w:styleId="Paginacin">
    <w:name w:val="Paginaci—n"/>
    <w:basedOn w:val="Normal"/>
    <w:uiPriority w:val="99"/>
    <w:rsid w:val="00C7085E"/>
    <w:pPr>
      <w:widowControl/>
      <w:suppressAutoHyphens/>
      <w:autoSpaceDE/>
      <w:autoSpaceDN/>
      <w:adjustRightInd/>
      <w:spacing w:before="120" w:after="120" w:line="240" w:lineRule="atLeast"/>
      <w:jc w:val="right"/>
    </w:pPr>
    <w:rPr>
      <w:color w:val="000000" w:themeColor="text1"/>
      <w:sz w:val="14"/>
    </w:rPr>
  </w:style>
  <w:style w:type="character" w:customStyle="1" w:styleId="GenricoA3EnumeracinCarCar">
    <w:name w:val="Genérico_A3_Enumeración Car Car"/>
    <w:link w:val="GenricoA3Enumeracin"/>
    <w:uiPriority w:val="99"/>
    <w:locked/>
    <w:rsid w:val="00C7085E"/>
    <w:rPr>
      <w:rFonts w:ascii="Arial" w:hAnsi="Arial"/>
      <w:sz w:val="22"/>
      <w:lang w:eastAsia="es-ES_tradnl"/>
    </w:rPr>
  </w:style>
  <w:style w:type="paragraph" w:customStyle="1" w:styleId="GenricoA3Enumeracin">
    <w:name w:val="Genérico_A3_Enumeración"/>
    <w:basedOn w:val="Normal"/>
    <w:link w:val="GenricoA3EnumeracinCarCar"/>
    <w:uiPriority w:val="99"/>
    <w:rsid w:val="00C7085E"/>
    <w:pPr>
      <w:widowControl/>
      <w:numPr>
        <w:numId w:val="6"/>
      </w:numPr>
      <w:tabs>
        <w:tab w:val="left" w:pos="852"/>
        <w:tab w:val="left" w:pos="1134"/>
        <w:tab w:val="left" w:pos="1420"/>
        <w:tab w:val="left" w:pos="1988"/>
      </w:tabs>
      <w:autoSpaceDE/>
      <w:autoSpaceDN/>
      <w:adjustRightInd/>
      <w:spacing w:after="100" w:line="300" w:lineRule="atLeast"/>
      <w:jc w:val="left"/>
    </w:pPr>
    <w:rPr>
      <w:szCs w:val="20"/>
      <w:lang w:eastAsia="es-ES_tradnl"/>
    </w:rPr>
  </w:style>
  <w:style w:type="paragraph" w:customStyle="1" w:styleId="EstiloDespus6ptoInterlineado15lneas1">
    <w:name w:val="Estilo Después:  6 pto Interlineado:  15 líneas1"/>
    <w:basedOn w:val="Normal"/>
    <w:uiPriority w:val="99"/>
    <w:rsid w:val="00C7085E"/>
    <w:pPr>
      <w:widowControl/>
      <w:autoSpaceDE/>
      <w:autoSpaceDN/>
      <w:adjustRightInd/>
      <w:spacing w:after="240" w:line="312" w:lineRule="auto"/>
    </w:pPr>
    <w:rPr>
      <w:szCs w:val="20"/>
    </w:rPr>
  </w:style>
  <w:style w:type="paragraph" w:customStyle="1" w:styleId="Default">
    <w:name w:val="Default"/>
    <w:uiPriority w:val="99"/>
    <w:rsid w:val="00C7085E"/>
    <w:pPr>
      <w:autoSpaceDE w:val="0"/>
      <w:autoSpaceDN w:val="0"/>
      <w:adjustRightInd w:val="0"/>
    </w:pPr>
    <w:rPr>
      <w:rFonts w:ascii="Tahoma" w:hAnsi="Tahoma" w:cs="Tahoma"/>
      <w:color w:val="000000"/>
      <w:sz w:val="24"/>
      <w:szCs w:val="24"/>
      <w:lang w:val="es-ES_tradnl" w:eastAsia="es-ES_tradnl"/>
    </w:rPr>
  </w:style>
  <w:style w:type="paragraph" w:customStyle="1" w:styleId="articulo1">
    <w:name w:val="articulo1"/>
    <w:basedOn w:val="Normal"/>
    <w:uiPriority w:val="99"/>
    <w:rsid w:val="00C7085E"/>
    <w:pPr>
      <w:widowControl/>
      <w:autoSpaceDE/>
      <w:autoSpaceDN/>
      <w:adjustRightInd/>
      <w:spacing w:before="360" w:after="180" w:line="240" w:lineRule="auto"/>
    </w:pPr>
    <w:rPr>
      <w:rFonts w:ascii="Times New Roman" w:hAnsi="Times New Roman"/>
      <w:b/>
      <w:bCs/>
      <w:sz w:val="24"/>
      <w:lang w:val="es-ES_tradnl" w:eastAsia="es-ES_tradnl"/>
    </w:rPr>
  </w:style>
  <w:style w:type="paragraph" w:customStyle="1" w:styleId="Ultimo">
    <w:name w:val="Ultimo"/>
    <w:basedOn w:val="Normal"/>
    <w:uiPriority w:val="99"/>
    <w:rsid w:val="00C7085E"/>
    <w:pPr>
      <w:widowControl/>
      <w:tabs>
        <w:tab w:val="left" w:pos="709"/>
        <w:tab w:val="left" w:pos="1418"/>
        <w:tab w:val="left" w:pos="2127"/>
        <w:tab w:val="left" w:pos="2835"/>
        <w:tab w:val="left" w:pos="3544"/>
        <w:tab w:val="left" w:pos="4253"/>
        <w:tab w:val="left" w:pos="4962"/>
        <w:tab w:val="left" w:pos="5670"/>
        <w:tab w:val="left" w:pos="6379"/>
        <w:tab w:val="left" w:pos="7088"/>
        <w:tab w:val="left" w:pos="7797"/>
        <w:tab w:val="left" w:pos="8505"/>
      </w:tabs>
      <w:autoSpaceDE/>
      <w:autoSpaceDN/>
      <w:adjustRightInd/>
      <w:spacing w:after="720" w:line="240" w:lineRule="atLeast"/>
    </w:pPr>
    <w:rPr>
      <w:rFonts w:cs="Arial"/>
      <w:sz w:val="20"/>
      <w:szCs w:val="20"/>
      <w:lang w:val="es-ES_tradnl"/>
    </w:rPr>
  </w:style>
  <w:style w:type="paragraph" w:customStyle="1" w:styleId="Celdas">
    <w:name w:val="Celdas"/>
    <w:basedOn w:val="Normal"/>
    <w:uiPriority w:val="99"/>
    <w:rsid w:val="00C7085E"/>
    <w:pPr>
      <w:widowControl/>
      <w:autoSpaceDE/>
      <w:autoSpaceDN/>
      <w:adjustRightInd/>
      <w:spacing w:before="40" w:after="40" w:line="240" w:lineRule="atLeast"/>
      <w:jc w:val="left"/>
    </w:pPr>
    <w:rPr>
      <w:rFonts w:cs="Arial"/>
      <w:sz w:val="20"/>
      <w:szCs w:val="20"/>
      <w:lang w:val="es-ES_tradnl"/>
    </w:rPr>
  </w:style>
  <w:style w:type="character" w:customStyle="1" w:styleId="TablaCar">
    <w:name w:val="Tabla Car"/>
    <w:basedOn w:val="PrrafodelistaCar"/>
    <w:link w:val="Tabla"/>
    <w:uiPriority w:val="99"/>
    <w:locked/>
    <w:rsid w:val="00C7085E"/>
    <w:rPr>
      <w:rFonts w:ascii="Arial" w:eastAsiaTheme="minorHAnsi" w:hAnsi="Arial" w:cstheme="minorBidi"/>
      <w:i/>
      <w:sz w:val="18"/>
      <w:szCs w:val="24"/>
      <w:lang w:val="es-ES_tradnl" w:eastAsia="es-ES_tradnl"/>
    </w:rPr>
  </w:style>
  <w:style w:type="paragraph" w:customStyle="1" w:styleId="Tabla">
    <w:name w:val="Tabla"/>
    <w:basedOn w:val="Prrafodelista"/>
    <w:link w:val="TablaCar"/>
    <w:uiPriority w:val="99"/>
    <w:qFormat/>
    <w:rsid w:val="00C7085E"/>
    <w:pPr>
      <w:numPr>
        <w:numId w:val="7"/>
      </w:numPr>
      <w:spacing w:after="240" w:line="240" w:lineRule="atLeast"/>
      <w:jc w:val="center"/>
    </w:pPr>
    <w:rPr>
      <w:rFonts w:ascii="Arial" w:hAnsi="Arial"/>
      <w:i/>
      <w:sz w:val="18"/>
      <w:szCs w:val="24"/>
      <w:lang w:val="es-ES_tradnl" w:eastAsia="es-ES_tradnl"/>
    </w:rPr>
  </w:style>
  <w:style w:type="paragraph" w:customStyle="1" w:styleId="vietas">
    <w:name w:val="viñetas"/>
    <w:basedOn w:val="Normal"/>
    <w:autoRedefine/>
    <w:uiPriority w:val="99"/>
    <w:rsid w:val="00C7085E"/>
    <w:pPr>
      <w:keepNext/>
      <w:tabs>
        <w:tab w:val="num" w:pos="720"/>
      </w:tabs>
      <w:spacing w:after="240" w:line="240" w:lineRule="atLeast"/>
      <w:ind w:left="720" w:hanging="360"/>
    </w:pPr>
    <w:rPr>
      <w:rFonts w:cs="Arial"/>
      <w:szCs w:val="22"/>
      <w:lang w:val="es-ES_tradnl"/>
    </w:rPr>
  </w:style>
  <w:style w:type="paragraph" w:customStyle="1" w:styleId="TIMESNORMAL">
    <w:name w:val="TIMES NORMAL"/>
    <w:uiPriority w:val="99"/>
    <w:rsid w:val="00C7085E"/>
    <w:pPr>
      <w:ind w:firstLine="709"/>
      <w:jc w:val="both"/>
    </w:pPr>
    <w:rPr>
      <w:rFonts w:ascii="Arial" w:hAnsi="Arial"/>
      <w:sz w:val="23"/>
    </w:rPr>
  </w:style>
  <w:style w:type="paragraph" w:customStyle="1" w:styleId="ARIALNORMAL">
    <w:name w:val="ARIAL NORMAL"/>
    <w:basedOn w:val="Normal"/>
    <w:uiPriority w:val="99"/>
    <w:rsid w:val="00C7085E"/>
    <w:pPr>
      <w:widowControl/>
      <w:suppressAutoHyphens/>
      <w:autoSpaceDE/>
      <w:autoSpaceDN/>
      <w:adjustRightInd/>
      <w:spacing w:line="240" w:lineRule="atLeast"/>
    </w:pPr>
    <w:rPr>
      <w:szCs w:val="20"/>
      <w:lang w:val="es-ES_tradnl"/>
    </w:rPr>
  </w:style>
  <w:style w:type="paragraph" w:customStyle="1" w:styleId="documento-tit1">
    <w:name w:val="documento-tit1"/>
    <w:basedOn w:val="Normal"/>
    <w:uiPriority w:val="99"/>
    <w:rsid w:val="00C7085E"/>
    <w:pPr>
      <w:widowControl/>
      <w:pBdr>
        <w:bottom w:val="single" w:sz="6" w:space="12" w:color="AAAAAA"/>
      </w:pBdr>
      <w:shd w:val="clear" w:color="auto" w:fill="F8F8F8"/>
      <w:autoSpaceDE/>
      <w:autoSpaceDN/>
      <w:adjustRightInd/>
      <w:spacing w:after="240" w:line="240" w:lineRule="auto"/>
    </w:pPr>
    <w:rPr>
      <w:rFonts w:ascii="Times New Roman" w:hAnsi="Times New Roman"/>
      <w:color w:val="000000"/>
      <w:sz w:val="31"/>
      <w:szCs w:val="31"/>
      <w:lang w:val="es-ES_tradnl" w:eastAsia="es-ES_tradnl"/>
    </w:rPr>
  </w:style>
  <w:style w:type="paragraph" w:customStyle="1" w:styleId="ARIALTITULO">
    <w:name w:val="ARIAL TITULO"/>
    <w:next w:val="ARIALNORMAL"/>
    <w:uiPriority w:val="99"/>
    <w:rsid w:val="00C7085E"/>
    <w:pPr>
      <w:suppressAutoHyphens/>
    </w:pPr>
    <w:rPr>
      <w:rFonts w:ascii="Arial" w:hAnsi="Arial"/>
      <w:b/>
      <w:sz w:val="22"/>
      <w:lang w:val="es-ES_tradnl"/>
    </w:rPr>
  </w:style>
  <w:style w:type="paragraph" w:customStyle="1" w:styleId="primeralinea1">
    <w:name w:val="primeralinea1"/>
    <w:basedOn w:val="Normal"/>
    <w:uiPriority w:val="99"/>
    <w:rsid w:val="00C7085E"/>
    <w:pPr>
      <w:widowControl/>
      <w:autoSpaceDE/>
      <w:autoSpaceDN/>
      <w:adjustRightInd/>
      <w:spacing w:after="360" w:line="240" w:lineRule="auto"/>
      <w:ind w:firstLine="525"/>
    </w:pPr>
    <w:rPr>
      <w:rFonts w:ascii="Times New Roman" w:hAnsi="Times New Roman"/>
      <w:sz w:val="24"/>
      <w:lang w:val="es-ES_tradnl" w:eastAsia="es-ES_tradnl"/>
    </w:rPr>
  </w:style>
  <w:style w:type="paragraph" w:customStyle="1" w:styleId="Pa8">
    <w:name w:val="Pa8"/>
    <w:basedOn w:val="Default"/>
    <w:next w:val="Default"/>
    <w:uiPriority w:val="99"/>
    <w:rsid w:val="00C7085E"/>
    <w:pPr>
      <w:spacing w:line="181" w:lineRule="atLeast"/>
    </w:pPr>
    <w:rPr>
      <w:rFonts w:ascii="Futura-Book" w:hAnsi="Futura-Book" w:cs="Times New Roman"/>
      <w:color w:val="auto"/>
      <w:lang w:eastAsia="es-ES"/>
    </w:rPr>
  </w:style>
  <w:style w:type="paragraph" w:customStyle="1" w:styleId="parrafo1">
    <w:name w:val="parrafo1"/>
    <w:basedOn w:val="Normal"/>
    <w:uiPriority w:val="99"/>
    <w:rsid w:val="00C7085E"/>
    <w:pPr>
      <w:widowControl/>
      <w:autoSpaceDE/>
      <w:autoSpaceDN/>
      <w:adjustRightInd/>
      <w:spacing w:before="180" w:after="180" w:line="240" w:lineRule="auto"/>
      <w:ind w:firstLine="360"/>
    </w:pPr>
    <w:rPr>
      <w:rFonts w:ascii="Times New Roman" w:hAnsi="Times New Roman"/>
      <w:sz w:val="24"/>
      <w:lang w:val="es-ES_tradnl" w:eastAsia="es-ES_tradnl"/>
    </w:rPr>
  </w:style>
  <w:style w:type="paragraph" w:customStyle="1" w:styleId="EstiloArial9ptJustificadoIzquierda063cmInterlineado">
    <w:name w:val="Estilo Arial 9 pt Justificado Izquierda:  063 cm Interlineado: ..."/>
    <w:basedOn w:val="Normal"/>
    <w:uiPriority w:val="99"/>
    <w:rsid w:val="00C7085E"/>
    <w:pPr>
      <w:widowControl/>
      <w:autoSpaceDE/>
      <w:autoSpaceDN/>
      <w:adjustRightInd/>
      <w:spacing w:line="240" w:lineRule="atLeast"/>
      <w:ind w:left="360"/>
    </w:pPr>
    <w:rPr>
      <w:sz w:val="18"/>
      <w:szCs w:val="20"/>
      <w:lang w:val="pt-PT" w:eastAsia="pt-PT"/>
    </w:rPr>
  </w:style>
  <w:style w:type="paragraph" w:customStyle="1" w:styleId="estilo38">
    <w:name w:val="estilo38"/>
    <w:basedOn w:val="Normal"/>
    <w:uiPriority w:val="99"/>
    <w:rsid w:val="00C7085E"/>
    <w:pPr>
      <w:widowControl/>
      <w:autoSpaceDE/>
      <w:autoSpaceDN/>
      <w:adjustRightInd/>
      <w:spacing w:before="100" w:beforeAutospacing="1" w:after="100" w:afterAutospacing="1" w:line="240" w:lineRule="auto"/>
      <w:jc w:val="left"/>
    </w:pPr>
    <w:rPr>
      <w:rFonts w:ascii="Times New Roman" w:hAnsi="Times New Roman"/>
      <w:color w:val="FFFFFF"/>
      <w:sz w:val="24"/>
      <w:lang w:val="es-ES_tradnl" w:eastAsia="es-ES_tradnl"/>
    </w:rPr>
  </w:style>
  <w:style w:type="paragraph" w:customStyle="1" w:styleId="EstiloPrimeralnea095cmAntes3ptoDespus6ptoInte">
    <w:name w:val="Estilo Primera línea:  095 cm Antes:  3 pto Después:  6 pto Inte..."/>
    <w:basedOn w:val="Normal"/>
    <w:uiPriority w:val="99"/>
    <w:rsid w:val="00C7085E"/>
    <w:pPr>
      <w:widowControl/>
      <w:autoSpaceDE/>
      <w:autoSpaceDN/>
      <w:adjustRightInd/>
      <w:spacing w:after="240" w:line="312" w:lineRule="auto"/>
    </w:pPr>
    <w:rPr>
      <w:szCs w:val="20"/>
    </w:rPr>
  </w:style>
  <w:style w:type="paragraph" w:customStyle="1" w:styleId="listaCarCarCarCar">
    <w:name w:val="lista Car Car Car Car"/>
    <w:basedOn w:val="Normal"/>
    <w:autoRedefine/>
    <w:uiPriority w:val="99"/>
    <w:rsid w:val="00C7085E"/>
    <w:pPr>
      <w:tabs>
        <w:tab w:val="num" w:pos="1440"/>
      </w:tabs>
      <w:suppressAutoHyphens/>
      <w:ind w:left="1440" w:hanging="360"/>
    </w:pPr>
    <w:rPr>
      <w:rFonts w:cs="Arial"/>
      <w:szCs w:val="22"/>
      <w:lang w:val="es-ES_tradnl"/>
    </w:rPr>
  </w:style>
  <w:style w:type="paragraph" w:customStyle="1" w:styleId="valdoc">
    <w:name w:val="valdoc"/>
    <w:basedOn w:val="Normal"/>
    <w:uiPriority w:val="99"/>
    <w:rsid w:val="00C7085E"/>
    <w:pPr>
      <w:widowControl/>
      <w:autoSpaceDE/>
      <w:autoSpaceDN/>
      <w:adjustRightInd/>
      <w:spacing w:before="100" w:beforeAutospacing="1" w:after="100" w:afterAutospacing="1" w:line="240" w:lineRule="auto"/>
      <w:jc w:val="left"/>
    </w:pPr>
    <w:rPr>
      <w:rFonts w:ascii="Times New Roman" w:hAnsi="Times New Roman"/>
      <w:sz w:val="24"/>
    </w:rPr>
  </w:style>
  <w:style w:type="paragraph" w:customStyle="1" w:styleId="parrafo2">
    <w:name w:val="parrafo_2"/>
    <w:basedOn w:val="Normal"/>
    <w:uiPriority w:val="99"/>
    <w:rsid w:val="00C7085E"/>
    <w:pPr>
      <w:widowControl/>
      <w:autoSpaceDE/>
      <w:autoSpaceDN/>
      <w:adjustRightInd/>
      <w:spacing w:before="100" w:beforeAutospacing="1" w:after="100" w:afterAutospacing="1" w:line="240" w:lineRule="auto"/>
      <w:jc w:val="left"/>
    </w:pPr>
    <w:rPr>
      <w:rFonts w:ascii="Times New Roman" w:hAnsi="Times New Roman"/>
      <w:sz w:val="24"/>
    </w:rPr>
  </w:style>
  <w:style w:type="paragraph" w:customStyle="1" w:styleId="parrafo">
    <w:name w:val="parrafo"/>
    <w:basedOn w:val="Normal"/>
    <w:uiPriority w:val="99"/>
    <w:rsid w:val="00C7085E"/>
    <w:pPr>
      <w:widowControl/>
      <w:autoSpaceDE/>
      <w:autoSpaceDN/>
      <w:adjustRightInd/>
      <w:spacing w:before="100" w:beforeAutospacing="1" w:after="100" w:afterAutospacing="1" w:line="240" w:lineRule="auto"/>
      <w:jc w:val="left"/>
    </w:pPr>
    <w:rPr>
      <w:rFonts w:ascii="Times New Roman" w:hAnsi="Times New Roman"/>
      <w:sz w:val="24"/>
    </w:rPr>
  </w:style>
  <w:style w:type="character" w:customStyle="1" w:styleId="listaCarCarCarCarCarCar">
    <w:name w:val="lista Car Car Car Car Car Car"/>
    <w:basedOn w:val="Fuentedeprrafopredeter"/>
    <w:link w:val="listaCarCarCarCarCar"/>
    <w:locked/>
    <w:rsid w:val="00C7085E"/>
    <w:rPr>
      <w:rFonts w:ascii="Arial" w:hAnsi="Arial" w:cs="Arial"/>
      <w:bCs/>
      <w:color w:val="000000"/>
      <w:sz w:val="22"/>
      <w:szCs w:val="22"/>
      <w:lang w:val="es-ES_tradnl"/>
    </w:rPr>
  </w:style>
  <w:style w:type="paragraph" w:customStyle="1" w:styleId="listaCarCarCarCarCar">
    <w:name w:val="lista Car Car Car Car Car"/>
    <w:basedOn w:val="Normal"/>
    <w:link w:val="listaCarCarCarCarCarCar"/>
    <w:autoRedefine/>
    <w:rsid w:val="00C7085E"/>
    <w:pPr>
      <w:spacing w:after="240" w:line="240" w:lineRule="atLeast"/>
      <w:ind w:left="1080"/>
    </w:pPr>
    <w:rPr>
      <w:rFonts w:cs="Arial"/>
      <w:bCs/>
      <w:color w:val="000000"/>
      <w:szCs w:val="22"/>
      <w:lang w:val="es-ES_tradnl"/>
    </w:rPr>
  </w:style>
  <w:style w:type="paragraph" w:customStyle="1" w:styleId="listaCar">
    <w:name w:val="lista Car"/>
    <w:basedOn w:val="Normal"/>
    <w:autoRedefine/>
    <w:uiPriority w:val="99"/>
    <w:rsid w:val="00C7085E"/>
    <w:pPr>
      <w:spacing w:before="120" w:after="240" w:line="240" w:lineRule="auto"/>
    </w:pPr>
    <w:rPr>
      <w:rFonts w:cs="Arial"/>
      <w:szCs w:val="22"/>
      <w:lang w:val="es-ES_tradnl"/>
    </w:rPr>
  </w:style>
  <w:style w:type="paragraph" w:customStyle="1" w:styleId="EstiloTahoma10ptPrimeralnea125cmDerecha-0cmInte">
    <w:name w:val="Estilo Tahoma 10 pt Primera línea:  125 cm Derecha:  -0 cm Inte..."/>
    <w:basedOn w:val="Normal"/>
    <w:autoRedefine/>
    <w:uiPriority w:val="99"/>
    <w:rsid w:val="00C7085E"/>
    <w:pPr>
      <w:widowControl/>
      <w:autoSpaceDE/>
      <w:autoSpaceDN/>
      <w:adjustRightInd/>
      <w:spacing w:before="120" w:line="312" w:lineRule="auto"/>
    </w:pPr>
    <w:rPr>
      <w:rFonts w:ascii="Tahoma" w:hAnsi="Tahoma"/>
      <w:sz w:val="20"/>
      <w:szCs w:val="20"/>
    </w:rPr>
  </w:style>
  <w:style w:type="character" w:styleId="Refdecomentario">
    <w:name w:val="annotation reference"/>
    <w:semiHidden/>
    <w:unhideWhenUsed/>
    <w:rsid w:val="00C7085E"/>
    <w:rPr>
      <w:sz w:val="16"/>
      <w:szCs w:val="16"/>
    </w:rPr>
  </w:style>
  <w:style w:type="character" w:styleId="Textodelmarcadordeposicin">
    <w:name w:val="Placeholder Text"/>
    <w:basedOn w:val="Fuentedeprrafopredeter"/>
    <w:uiPriority w:val="99"/>
    <w:semiHidden/>
    <w:rsid w:val="00C7085E"/>
    <w:rPr>
      <w:color w:val="808080"/>
    </w:rPr>
  </w:style>
  <w:style w:type="character" w:customStyle="1" w:styleId="nivell1">
    <w:name w:val="nivell 1"/>
    <w:basedOn w:val="Fuentedeprrafopredeter"/>
    <w:rsid w:val="00C7085E"/>
    <w:rPr>
      <w:rFonts w:ascii="Arial" w:hAnsi="Arial" w:cs="Arial" w:hint="default"/>
      <w:b/>
      <w:bCs w:val="0"/>
      <w:noProof w:val="0"/>
      <w:sz w:val="28"/>
      <w:lang w:val="en-US"/>
    </w:rPr>
  </w:style>
  <w:style w:type="character" w:customStyle="1" w:styleId="texte">
    <w:name w:val="texte"/>
    <w:basedOn w:val="Fuentedeprrafopredeter"/>
    <w:rsid w:val="00C7085E"/>
  </w:style>
  <w:style w:type="character" w:customStyle="1" w:styleId="font21">
    <w:name w:val="font21"/>
    <w:basedOn w:val="Fuentedeprrafopredeter"/>
    <w:rsid w:val="00C7085E"/>
    <w:rPr>
      <w:rFonts w:ascii="Tahoma" w:hAnsi="Tahoma" w:cs="Tahoma" w:hint="default"/>
      <w:color w:val="000000"/>
      <w:sz w:val="15"/>
      <w:szCs w:val="15"/>
      <w:bdr w:val="single" w:sz="2" w:space="0" w:color="0000FF" w:frame="1"/>
    </w:rPr>
  </w:style>
  <w:style w:type="character" w:customStyle="1" w:styleId="font31">
    <w:name w:val="font31"/>
    <w:basedOn w:val="Fuentedeprrafopredeter"/>
    <w:rsid w:val="00C7085E"/>
    <w:rPr>
      <w:rFonts w:ascii="SymbolMT" w:hAnsi="SymbolMT" w:hint="default"/>
      <w:color w:val="000000"/>
      <w:sz w:val="15"/>
      <w:szCs w:val="15"/>
      <w:bdr w:val="single" w:sz="2" w:space="0" w:color="0000FF" w:frame="1"/>
    </w:rPr>
  </w:style>
  <w:style w:type="paragraph" w:customStyle="1" w:styleId="xl22">
    <w:name w:val="xl22"/>
    <w:basedOn w:val="Normal"/>
    <w:rsid w:val="00FE3466"/>
    <w:pPr>
      <w:widowControl/>
      <w:autoSpaceDE/>
      <w:autoSpaceDN/>
      <w:adjustRightInd/>
      <w:spacing w:before="100" w:beforeAutospacing="1" w:after="100" w:afterAutospacing="1" w:line="240" w:lineRule="auto"/>
      <w:jc w:val="left"/>
    </w:pPr>
    <w:rPr>
      <w:rFonts w:eastAsia="Arial Unicode MS" w:cs="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85012">
      <w:bodyDiv w:val="1"/>
      <w:marLeft w:val="0"/>
      <w:marRight w:val="0"/>
      <w:marTop w:val="0"/>
      <w:marBottom w:val="0"/>
      <w:divBdr>
        <w:top w:val="none" w:sz="0" w:space="0" w:color="auto"/>
        <w:left w:val="none" w:sz="0" w:space="0" w:color="auto"/>
        <w:bottom w:val="none" w:sz="0" w:space="0" w:color="auto"/>
        <w:right w:val="none" w:sz="0" w:space="0" w:color="auto"/>
      </w:divBdr>
    </w:div>
    <w:div w:id="42288573">
      <w:bodyDiv w:val="1"/>
      <w:marLeft w:val="0"/>
      <w:marRight w:val="0"/>
      <w:marTop w:val="0"/>
      <w:marBottom w:val="0"/>
      <w:divBdr>
        <w:top w:val="none" w:sz="0" w:space="0" w:color="auto"/>
        <w:left w:val="none" w:sz="0" w:space="0" w:color="auto"/>
        <w:bottom w:val="none" w:sz="0" w:space="0" w:color="auto"/>
        <w:right w:val="none" w:sz="0" w:space="0" w:color="auto"/>
      </w:divBdr>
    </w:div>
    <w:div w:id="199441550">
      <w:bodyDiv w:val="1"/>
      <w:marLeft w:val="0"/>
      <w:marRight w:val="0"/>
      <w:marTop w:val="0"/>
      <w:marBottom w:val="0"/>
      <w:divBdr>
        <w:top w:val="none" w:sz="0" w:space="0" w:color="auto"/>
        <w:left w:val="none" w:sz="0" w:space="0" w:color="auto"/>
        <w:bottom w:val="none" w:sz="0" w:space="0" w:color="auto"/>
        <w:right w:val="none" w:sz="0" w:space="0" w:color="auto"/>
      </w:divBdr>
    </w:div>
    <w:div w:id="233972562">
      <w:bodyDiv w:val="1"/>
      <w:marLeft w:val="0"/>
      <w:marRight w:val="0"/>
      <w:marTop w:val="0"/>
      <w:marBottom w:val="0"/>
      <w:divBdr>
        <w:top w:val="none" w:sz="0" w:space="0" w:color="auto"/>
        <w:left w:val="none" w:sz="0" w:space="0" w:color="auto"/>
        <w:bottom w:val="none" w:sz="0" w:space="0" w:color="auto"/>
        <w:right w:val="none" w:sz="0" w:space="0" w:color="auto"/>
      </w:divBdr>
    </w:div>
    <w:div w:id="285888721">
      <w:bodyDiv w:val="1"/>
      <w:marLeft w:val="0"/>
      <w:marRight w:val="0"/>
      <w:marTop w:val="0"/>
      <w:marBottom w:val="0"/>
      <w:divBdr>
        <w:top w:val="none" w:sz="0" w:space="0" w:color="auto"/>
        <w:left w:val="none" w:sz="0" w:space="0" w:color="auto"/>
        <w:bottom w:val="none" w:sz="0" w:space="0" w:color="auto"/>
        <w:right w:val="none" w:sz="0" w:space="0" w:color="auto"/>
      </w:divBdr>
    </w:div>
    <w:div w:id="372267054">
      <w:bodyDiv w:val="1"/>
      <w:marLeft w:val="0"/>
      <w:marRight w:val="0"/>
      <w:marTop w:val="0"/>
      <w:marBottom w:val="0"/>
      <w:divBdr>
        <w:top w:val="none" w:sz="0" w:space="0" w:color="auto"/>
        <w:left w:val="none" w:sz="0" w:space="0" w:color="auto"/>
        <w:bottom w:val="none" w:sz="0" w:space="0" w:color="auto"/>
        <w:right w:val="none" w:sz="0" w:space="0" w:color="auto"/>
      </w:divBdr>
    </w:div>
    <w:div w:id="457605020">
      <w:bodyDiv w:val="1"/>
      <w:marLeft w:val="0"/>
      <w:marRight w:val="0"/>
      <w:marTop w:val="0"/>
      <w:marBottom w:val="0"/>
      <w:divBdr>
        <w:top w:val="none" w:sz="0" w:space="0" w:color="auto"/>
        <w:left w:val="none" w:sz="0" w:space="0" w:color="auto"/>
        <w:bottom w:val="none" w:sz="0" w:space="0" w:color="auto"/>
        <w:right w:val="none" w:sz="0" w:space="0" w:color="auto"/>
      </w:divBdr>
    </w:div>
    <w:div w:id="535898114">
      <w:bodyDiv w:val="1"/>
      <w:marLeft w:val="0"/>
      <w:marRight w:val="0"/>
      <w:marTop w:val="0"/>
      <w:marBottom w:val="0"/>
      <w:divBdr>
        <w:top w:val="none" w:sz="0" w:space="0" w:color="auto"/>
        <w:left w:val="none" w:sz="0" w:space="0" w:color="auto"/>
        <w:bottom w:val="none" w:sz="0" w:space="0" w:color="auto"/>
        <w:right w:val="none" w:sz="0" w:space="0" w:color="auto"/>
      </w:divBdr>
    </w:div>
    <w:div w:id="644621515">
      <w:bodyDiv w:val="1"/>
      <w:marLeft w:val="0"/>
      <w:marRight w:val="0"/>
      <w:marTop w:val="0"/>
      <w:marBottom w:val="0"/>
      <w:divBdr>
        <w:top w:val="none" w:sz="0" w:space="0" w:color="auto"/>
        <w:left w:val="none" w:sz="0" w:space="0" w:color="auto"/>
        <w:bottom w:val="none" w:sz="0" w:space="0" w:color="auto"/>
        <w:right w:val="none" w:sz="0" w:space="0" w:color="auto"/>
      </w:divBdr>
    </w:div>
    <w:div w:id="672149374">
      <w:bodyDiv w:val="1"/>
      <w:marLeft w:val="0"/>
      <w:marRight w:val="0"/>
      <w:marTop w:val="0"/>
      <w:marBottom w:val="0"/>
      <w:divBdr>
        <w:top w:val="none" w:sz="0" w:space="0" w:color="auto"/>
        <w:left w:val="none" w:sz="0" w:space="0" w:color="auto"/>
        <w:bottom w:val="none" w:sz="0" w:space="0" w:color="auto"/>
        <w:right w:val="none" w:sz="0" w:space="0" w:color="auto"/>
      </w:divBdr>
    </w:div>
    <w:div w:id="734161854">
      <w:bodyDiv w:val="1"/>
      <w:marLeft w:val="0"/>
      <w:marRight w:val="0"/>
      <w:marTop w:val="0"/>
      <w:marBottom w:val="0"/>
      <w:divBdr>
        <w:top w:val="none" w:sz="0" w:space="0" w:color="auto"/>
        <w:left w:val="none" w:sz="0" w:space="0" w:color="auto"/>
        <w:bottom w:val="none" w:sz="0" w:space="0" w:color="auto"/>
        <w:right w:val="none" w:sz="0" w:space="0" w:color="auto"/>
      </w:divBdr>
    </w:div>
    <w:div w:id="1100368581">
      <w:bodyDiv w:val="1"/>
      <w:marLeft w:val="0"/>
      <w:marRight w:val="0"/>
      <w:marTop w:val="0"/>
      <w:marBottom w:val="0"/>
      <w:divBdr>
        <w:top w:val="none" w:sz="0" w:space="0" w:color="auto"/>
        <w:left w:val="none" w:sz="0" w:space="0" w:color="auto"/>
        <w:bottom w:val="none" w:sz="0" w:space="0" w:color="auto"/>
        <w:right w:val="none" w:sz="0" w:space="0" w:color="auto"/>
      </w:divBdr>
    </w:div>
    <w:div w:id="1230462670">
      <w:bodyDiv w:val="1"/>
      <w:marLeft w:val="0"/>
      <w:marRight w:val="0"/>
      <w:marTop w:val="0"/>
      <w:marBottom w:val="0"/>
      <w:divBdr>
        <w:top w:val="none" w:sz="0" w:space="0" w:color="auto"/>
        <w:left w:val="none" w:sz="0" w:space="0" w:color="auto"/>
        <w:bottom w:val="none" w:sz="0" w:space="0" w:color="auto"/>
        <w:right w:val="none" w:sz="0" w:space="0" w:color="auto"/>
      </w:divBdr>
    </w:div>
    <w:div w:id="1267539708">
      <w:bodyDiv w:val="1"/>
      <w:marLeft w:val="0"/>
      <w:marRight w:val="0"/>
      <w:marTop w:val="0"/>
      <w:marBottom w:val="0"/>
      <w:divBdr>
        <w:top w:val="none" w:sz="0" w:space="0" w:color="auto"/>
        <w:left w:val="none" w:sz="0" w:space="0" w:color="auto"/>
        <w:bottom w:val="none" w:sz="0" w:space="0" w:color="auto"/>
        <w:right w:val="none" w:sz="0" w:space="0" w:color="auto"/>
      </w:divBdr>
    </w:div>
    <w:div w:id="1315446357">
      <w:bodyDiv w:val="1"/>
      <w:marLeft w:val="0"/>
      <w:marRight w:val="0"/>
      <w:marTop w:val="0"/>
      <w:marBottom w:val="0"/>
      <w:divBdr>
        <w:top w:val="none" w:sz="0" w:space="0" w:color="auto"/>
        <w:left w:val="none" w:sz="0" w:space="0" w:color="auto"/>
        <w:bottom w:val="none" w:sz="0" w:space="0" w:color="auto"/>
        <w:right w:val="none" w:sz="0" w:space="0" w:color="auto"/>
      </w:divBdr>
    </w:div>
    <w:div w:id="1520198222">
      <w:bodyDiv w:val="1"/>
      <w:marLeft w:val="0"/>
      <w:marRight w:val="0"/>
      <w:marTop w:val="0"/>
      <w:marBottom w:val="0"/>
      <w:divBdr>
        <w:top w:val="none" w:sz="0" w:space="0" w:color="auto"/>
        <w:left w:val="none" w:sz="0" w:space="0" w:color="auto"/>
        <w:bottom w:val="none" w:sz="0" w:space="0" w:color="auto"/>
        <w:right w:val="none" w:sz="0" w:space="0" w:color="auto"/>
      </w:divBdr>
    </w:div>
    <w:div w:id="1535994943">
      <w:bodyDiv w:val="1"/>
      <w:marLeft w:val="0"/>
      <w:marRight w:val="0"/>
      <w:marTop w:val="0"/>
      <w:marBottom w:val="0"/>
      <w:divBdr>
        <w:top w:val="none" w:sz="0" w:space="0" w:color="auto"/>
        <w:left w:val="none" w:sz="0" w:space="0" w:color="auto"/>
        <w:bottom w:val="none" w:sz="0" w:space="0" w:color="auto"/>
        <w:right w:val="none" w:sz="0" w:space="0" w:color="auto"/>
      </w:divBdr>
    </w:div>
    <w:div w:id="1576551639">
      <w:bodyDiv w:val="1"/>
      <w:marLeft w:val="0"/>
      <w:marRight w:val="0"/>
      <w:marTop w:val="0"/>
      <w:marBottom w:val="0"/>
      <w:divBdr>
        <w:top w:val="none" w:sz="0" w:space="0" w:color="auto"/>
        <w:left w:val="none" w:sz="0" w:space="0" w:color="auto"/>
        <w:bottom w:val="none" w:sz="0" w:space="0" w:color="auto"/>
        <w:right w:val="none" w:sz="0" w:space="0" w:color="auto"/>
      </w:divBdr>
    </w:div>
    <w:div w:id="1588222075">
      <w:bodyDiv w:val="1"/>
      <w:marLeft w:val="0"/>
      <w:marRight w:val="0"/>
      <w:marTop w:val="0"/>
      <w:marBottom w:val="0"/>
      <w:divBdr>
        <w:top w:val="none" w:sz="0" w:space="0" w:color="auto"/>
        <w:left w:val="none" w:sz="0" w:space="0" w:color="auto"/>
        <w:bottom w:val="none" w:sz="0" w:space="0" w:color="auto"/>
        <w:right w:val="none" w:sz="0" w:space="0" w:color="auto"/>
      </w:divBdr>
    </w:div>
    <w:div w:id="1591696307">
      <w:bodyDiv w:val="1"/>
      <w:marLeft w:val="0"/>
      <w:marRight w:val="0"/>
      <w:marTop w:val="0"/>
      <w:marBottom w:val="0"/>
      <w:divBdr>
        <w:top w:val="none" w:sz="0" w:space="0" w:color="auto"/>
        <w:left w:val="none" w:sz="0" w:space="0" w:color="auto"/>
        <w:bottom w:val="none" w:sz="0" w:space="0" w:color="auto"/>
        <w:right w:val="none" w:sz="0" w:space="0" w:color="auto"/>
      </w:divBdr>
    </w:div>
    <w:div w:id="1608733140">
      <w:bodyDiv w:val="1"/>
      <w:marLeft w:val="0"/>
      <w:marRight w:val="0"/>
      <w:marTop w:val="0"/>
      <w:marBottom w:val="0"/>
      <w:divBdr>
        <w:top w:val="none" w:sz="0" w:space="0" w:color="auto"/>
        <w:left w:val="none" w:sz="0" w:space="0" w:color="auto"/>
        <w:bottom w:val="none" w:sz="0" w:space="0" w:color="auto"/>
        <w:right w:val="none" w:sz="0" w:space="0" w:color="auto"/>
      </w:divBdr>
    </w:div>
    <w:div w:id="1629243740">
      <w:bodyDiv w:val="1"/>
      <w:marLeft w:val="0"/>
      <w:marRight w:val="0"/>
      <w:marTop w:val="0"/>
      <w:marBottom w:val="0"/>
      <w:divBdr>
        <w:top w:val="none" w:sz="0" w:space="0" w:color="auto"/>
        <w:left w:val="none" w:sz="0" w:space="0" w:color="auto"/>
        <w:bottom w:val="none" w:sz="0" w:space="0" w:color="auto"/>
        <w:right w:val="none" w:sz="0" w:space="0" w:color="auto"/>
      </w:divBdr>
    </w:div>
    <w:div w:id="1634169165">
      <w:bodyDiv w:val="1"/>
      <w:marLeft w:val="0"/>
      <w:marRight w:val="0"/>
      <w:marTop w:val="0"/>
      <w:marBottom w:val="0"/>
      <w:divBdr>
        <w:top w:val="none" w:sz="0" w:space="0" w:color="auto"/>
        <w:left w:val="none" w:sz="0" w:space="0" w:color="auto"/>
        <w:bottom w:val="none" w:sz="0" w:space="0" w:color="auto"/>
        <w:right w:val="none" w:sz="0" w:space="0" w:color="auto"/>
      </w:divBdr>
    </w:div>
    <w:div w:id="1886872248">
      <w:bodyDiv w:val="1"/>
      <w:marLeft w:val="0"/>
      <w:marRight w:val="0"/>
      <w:marTop w:val="0"/>
      <w:marBottom w:val="0"/>
      <w:divBdr>
        <w:top w:val="none" w:sz="0" w:space="0" w:color="auto"/>
        <w:left w:val="none" w:sz="0" w:space="0" w:color="auto"/>
        <w:bottom w:val="none" w:sz="0" w:space="0" w:color="auto"/>
        <w:right w:val="none" w:sz="0" w:space="0" w:color="auto"/>
      </w:divBdr>
    </w:div>
    <w:div w:id="1967195319">
      <w:bodyDiv w:val="1"/>
      <w:marLeft w:val="0"/>
      <w:marRight w:val="0"/>
      <w:marTop w:val="0"/>
      <w:marBottom w:val="0"/>
      <w:divBdr>
        <w:top w:val="none" w:sz="0" w:space="0" w:color="auto"/>
        <w:left w:val="none" w:sz="0" w:space="0" w:color="auto"/>
        <w:bottom w:val="none" w:sz="0" w:space="0" w:color="auto"/>
        <w:right w:val="none" w:sz="0" w:space="0" w:color="auto"/>
      </w:divBdr>
    </w:div>
    <w:div w:id="1974478811">
      <w:bodyDiv w:val="1"/>
      <w:marLeft w:val="0"/>
      <w:marRight w:val="0"/>
      <w:marTop w:val="0"/>
      <w:marBottom w:val="0"/>
      <w:divBdr>
        <w:top w:val="none" w:sz="0" w:space="0" w:color="auto"/>
        <w:left w:val="none" w:sz="0" w:space="0" w:color="auto"/>
        <w:bottom w:val="none" w:sz="0" w:space="0" w:color="auto"/>
        <w:right w:val="none" w:sz="0" w:space="0" w:color="auto"/>
      </w:divBdr>
    </w:div>
    <w:div w:id="2007317092">
      <w:bodyDiv w:val="1"/>
      <w:marLeft w:val="0"/>
      <w:marRight w:val="0"/>
      <w:marTop w:val="0"/>
      <w:marBottom w:val="0"/>
      <w:divBdr>
        <w:top w:val="none" w:sz="0" w:space="0" w:color="auto"/>
        <w:left w:val="none" w:sz="0" w:space="0" w:color="auto"/>
        <w:bottom w:val="none" w:sz="0" w:space="0" w:color="auto"/>
        <w:right w:val="none" w:sz="0" w:space="0" w:color="auto"/>
      </w:divBdr>
    </w:div>
    <w:div w:id="2086566368">
      <w:bodyDiv w:val="1"/>
      <w:marLeft w:val="0"/>
      <w:marRight w:val="0"/>
      <w:marTop w:val="0"/>
      <w:marBottom w:val="0"/>
      <w:divBdr>
        <w:top w:val="none" w:sz="0" w:space="0" w:color="auto"/>
        <w:left w:val="none" w:sz="0" w:space="0" w:color="auto"/>
        <w:bottom w:val="none" w:sz="0" w:space="0" w:color="auto"/>
        <w:right w:val="none" w:sz="0" w:space="0" w:color="auto"/>
      </w:divBdr>
    </w:div>
    <w:div w:id="213937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www.construmatica.com/construpedia/Solera"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trumatica.com/construpedia/Retacar"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javascript:abrirVentana('Servidor?opcion=VerHtml&amp;idnorma=5008&amp;word=S&amp;wordperfect=N&amp;pdf=S')" TargetMode="External"/><Relationship Id="rId25" Type="http://schemas.openxmlformats.org/officeDocument/2006/relationships/hyperlink" Target="http://www.construmatica.com/construpedia/Junta"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http://www.construmatica.com/construpedia/Replante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construmatica.com/construpedia/Remate"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yperlink" Target="http://www.construmatica.com/construpedia/Junta"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construmatica.com/construpedia/Cono_de_Abrams"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javascript:abrirVentana('Servidor?opcion=VerHtml&amp;idnorma=5008&amp;word=S&amp;wordperfect=N&amp;pdf=S')" TargetMode="External"/><Relationship Id="rId22" Type="http://schemas.openxmlformats.org/officeDocument/2006/relationships/hyperlink" Target="http://www.construmatica.com/construpedia/Trasd%C3%B3s" TargetMode="External"/><Relationship Id="rId27"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F53F2-A33A-4221-9BFE-0A021FB5C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314</Pages>
  <Words>99355</Words>
  <Characters>531202</Characters>
  <Application>Microsoft Office Word</Application>
  <DocSecurity>0</DocSecurity>
  <Lines>4426</Lines>
  <Paragraphs>1258</Paragraphs>
  <ScaleCrop>false</ScaleCrop>
  <HeadingPairs>
    <vt:vector size="2" baseType="variant">
      <vt:variant>
        <vt:lpstr>Título</vt:lpstr>
      </vt:variant>
      <vt:variant>
        <vt:i4>1</vt:i4>
      </vt:variant>
    </vt:vector>
  </HeadingPairs>
  <TitlesOfParts>
    <vt:vector size="1" baseType="lpstr">
      <vt:lpstr>ANEJO Nº 5</vt:lpstr>
    </vt:vector>
  </TitlesOfParts>
  <Company>idom</Company>
  <LinksUpToDate>false</LinksUpToDate>
  <CharactersWithSpaces>629299</CharactersWithSpaces>
  <SharedDoc>false</SharedDoc>
  <HLinks>
    <vt:vector size="1392" baseType="variant">
      <vt:variant>
        <vt:i4>1376315</vt:i4>
      </vt:variant>
      <vt:variant>
        <vt:i4>1388</vt:i4>
      </vt:variant>
      <vt:variant>
        <vt:i4>0</vt:i4>
      </vt:variant>
      <vt:variant>
        <vt:i4>5</vt:i4>
      </vt:variant>
      <vt:variant>
        <vt:lpwstr/>
      </vt:variant>
      <vt:variant>
        <vt:lpwstr>_Toc374444853</vt:lpwstr>
      </vt:variant>
      <vt:variant>
        <vt:i4>1376315</vt:i4>
      </vt:variant>
      <vt:variant>
        <vt:i4>1382</vt:i4>
      </vt:variant>
      <vt:variant>
        <vt:i4>0</vt:i4>
      </vt:variant>
      <vt:variant>
        <vt:i4>5</vt:i4>
      </vt:variant>
      <vt:variant>
        <vt:lpwstr/>
      </vt:variant>
      <vt:variant>
        <vt:lpwstr>_Toc374444852</vt:lpwstr>
      </vt:variant>
      <vt:variant>
        <vt:i4>1376315</vt:i4>
      </vt:variant>
      <vt:variant>
        <vt:i4>1376</vt:i4>
      </vt:variant>
      <vt:variant>
        <vt:i4>0</vt:i4>
      </vt:variant>
      <vt:variant>
        <vt:i4>5</vt:i4>
      </vt:variant>
      <vt:variant>
        <vt:lpwstr/>
      </vt:variant>
      <vt:variant>
        <vt:lpwstr>_Toc374444851</vt:lpwstr>
      </vt:variant>
      <vt:variant>
        <vt:i4>1376315</vt:i4>
      </vt:variant>
      <vt:variant>
        <vt:i4>1370</vt:i4>
      </vt:variant>
      <vt:variant>
        <vt:i4>0</vt:i4>
      </vt:variant>
      <vt:variant>
        <vt:i4>5</vt:i4>
      </vt:variant>
      <vt:variant>
        <vt:lpwstr/>
      </vt:variant>
      <vt:variant>
        <vt:lpwstr>_Toc374444850</vt:lpwstr>
      </vt:variant>
      <vt:variant>
        <vt:i4>1310779</vt:i4>
      </vt:variant>
      <vt:variant>
        <vt:i4>1364</vt:i4>
      </vt:variant>
      <vt:variant>
        <vt:i4>0</vt:i4>
      </vt:variant>
      <vt:variant>
        <vt:i4>5</vt:i4>
      </vt:variant>
      <vt:variant>
        <vt:lpwstr/>
      </vt:variant>
      <vt:variant>
        <vt:lpwstr>_Toc374444849</vt:lpwstr>
      </vt:variant>
      <vt:variant>
        <vt:i4>1310779</vt:i4>
      </vt:variant>
      <vt:variant>
        <vt:i4>1358</vt:i4>
      </vt:variant>
      <vt:variant>
        <vt:i4>0</vt:i4>
      </vt:variant>
      <vt:variant>
        <vt:i4>5</vt:i4>
      </vt:variant>
      <vt:variant>
        <vt:lpwstr/>
      </vt:variant>
      <vt:variant>
        <vt:lpwstr>_Toc374444848</vt:lpwstr>
      </vt:variant>
      <vt:variant>
        <vt:i4>1310779</vt:i4>
      </vt:variant>
      <vt:variant>
        <vt:i4>1352</vt:i4>
      </vt:variant>
      <vt:variant>
        <vt:i4>0</vt:i4>
      </vt:variant>
      <vt:variant>
        <vt:i4>5</vt:i4>
      </vt:variant>
      <vt:variant>
        <vt:lpwstr/>
      </vt:variant>
      <vt:variant>
        <vt:lpwstr>_Toc374444847</vt:lpwstr>
      </vt:variant>
      <vt:variant>
        <vt:i4>1310779</vt:i4>
      </vt:variant>
      <vt:variant>
        <vt:i4>1346</vt:i4>
      </vt:variant>
      <vt:variant>
        <vt:i4>0</vt:i4>
      </vt:variant>
      <vt:variant>
        <vt:i4>5</vt:i4>
      </vt:variant>
      <vt:variant>
        <vt:lpwstr/>
      </vt:variant>
      <vt:variant>
        <vt:lpwstr>_Toc374444846</vt:lpwstr>
      </vt:variant>
      <vt:variant>
        <vt:i4>1310779</vt:i4>
      </vt:variant>
      <vt:variant>
        <vt:i4>1340</vt:i4>
      </vt:variant>
      <vt:variant>
        <vt:i4>0</vt:i4>
      </vt:variant>
      <vt:variant>
        <vt:i4>5</vt:i4>
      </vt:variant>
      <vt:variant>
        <vt:lpwstr/>
      </vt:variant>
      <vt:variant>
        <vt:lpwstr>_Toc374444845</vt:lpwstr>
      </vt:variant>
      <vt:variant>
        <vt:i4>1310779</vt:i4>
      </vt:variant>
      <vt:variant>
        <vt:i4>1334</vt:i4>
      </vt:variant>
      <vt:variant>
        <vt:i4>0</vt:i4>
      </vt:variant>
      <vt:variant>
        <vt:i4>5</vt:i4>
      </vt:variant>
      <vt:variant>
        <vt:lpwstr/>
      </vt:variant>
      <vt:variant>
        <vt:lpwstr>_Toc374444844</vt:lpwstr>
      </vt:variant>
      <vt:variant>
        <vt:i4>1310779</vt:i4>
      </vt:variant>
      <vt:variant>
        <vt:i4>1328</vt:i4>
      </vt:variant>
      <vt:variant>
        <vt:i4>0</vt:i4>
      </vt:variant>
      <vt:variant>
        <vt:i4>5</vt:i4>
      </vt:variant>
      <vt:variant>
        <vt:lpwstr/>
      </vt:variant>
      <vt:variant>
        <vt:lpwstr>_Toc374444843</vt:lpwstr>
      </vt:variant>
      <vt:variant>
        <vt:i4>1310779</vt:i4>
      </vt:variant>
      <vt:variant>
        <vt:i4>1322</vt:i4>
      </vt:variant>
      <vt:variant>
        <vt:i4>0</vt:i4>
      </vt:variant>
      <vt:variant>
        <vt:i4>5</vt:i4>
      </vt:variant>
      <vt:variant>
        <vt:lpwstr/>
      </vt:variant>
      <vt:variant>
        <vt:lpwstr>_Toc374444842</vt:lpwstr>
      </vt:variant>
      <vt:variant>
        <vt:i4>1310779</vt:i4>
      </vt:variant>
      <vt:variant>
        <vt:i4>1316</vt:i4>
      </vt:variant>
      <vt:variant>
        <vt:i4>0</vt:i4>
      </vt:variant>
      <vt:variant>
        <vt:i4>5</vt:i4>
      </vt:variant>
      <vt:variant>
        <vt:lpwstr/>
      </vt:variant>
      <vt:variant>
        <vt:lpwstr>_Toc374444841</vt:lpwstr>
      </vt:variant>
      <vt:variant>
        <vt:i4>1310779</vt:i4>
      </vt:variant>
      <vt:variant>
        <vt:i4>1310</vt:i4>
      </vt:variant>
      <vt:variant>
        <vt:i4>0</vt:i4>
      </vt:variant>
      <vt:variant>
        <vt:i4>5</vt:i4>
      </vt:variant>
      <vt:variant>
        <vt:lpwstr/>
      </vt:variant>
      <vt:variant>
        <vt:lpwstr>_Toc374444840</vt:lpwstr>
      </vt:variant>
      <vt:variant>
        <vt:i4>1245243</vt:i4>
      </vt:variant>
      <vt:variant>
        <vt:i4>1304</vt:i4>
      </vt:variant>
      <vt:variant>
        <vt:i4>0</vt:i4>
      </vt:variant>
      <vt:variant>
        <vt:i4>5</vt:i4>
      </vt:variant>
      <vt:variant>
        <vt:lpwstr/>
      </vt:variant>
      <vt:variant>
        <vt:lpwstr>_Toc374444839</vt:lpwstr>
      </vt:variant>
      <vt:variant>
        <vt:i4>1245243</vt:i4>
      </vt:variant>
      <vt:variant>
        <vt:i4>1298</vt:i4>
      </vt:variant>
      <vt:variant>
        <vt:i4>0</vt:i4>
      </vt:variant>
      <vt:variant>
        <vt:i4>5</vt:i4>
      </vt:variant>
      <vt:variant>
        <vt:lpwstr/>
      </vt:variant>
      <vt:variant>
        <vt:lpwstr>_Toc374444838</vt:lpwstr>
      </vt:variant>
      <vt:variant>
        <vt:i4>1245243</vt:i4>
      </vt:variant>
      <vt:variant>
        <vt:i4>1292</vt:i4>
      </vt:variant>
      <vt:variant>
        <vt:i4>0</vt:i4>
      </vt:variant>
      <vt:variant>
        <vt:i4>5</vt:i4>
      </vt:variant>
      <vt:variant>
        <vt:lpwstr/>
      </vt:variant>
      <vt:variant>
        <vt:lpwstr>_Toc374444837</vt:lpwstr>
      </vt:variant>
      <vt:variant>
        <vt:i4>1245243</vt:i4>
      </vt:variant>
      <vt:variant>
        <vt:i4>1286</vt:i4>
      </vt:variant>
      <vt:variant>
        <vt:i4>0</vt:i4>
      </vt:variant>
      <vt:variant>
        <vt:i4>5</vt:i4>
      </vt:variant>
      <vt:variant>
        <vt:lpwstr/>
      </vt:variant>
      <vt:variant>
        <vt:lpwstr>_Toc374444836</vt:lpwstr>
      </vt:variant>
      <vt:variant>
        <vt:i4>1245243</vt:i4>
      </vt:variant>
      <vt:variant>
        <vt:i4>1280</vt:i4>
      </vt:variant>
      <vt:variant>
        <vt:i4>0</vt:i4>
      </vt:variant>
      <vt:variant>
        <vt:i4>5</vt:i4>
      </vt:variant>
      <vt:variant>
        <vt:lpwstr/>
      </vt:variant>
      <vt:variant>
        <vt:lpwstr>_Toc374444835</vt:lpwstr>
      </vt:variant>
      <vt:variant>
        <vt:i4>1245243</vt:i4>
      </vt:variant>
      <vt:variant>
        <vt:i4>1274</vt:i4>
      </vt:variant>
      <vt:variant>
        <vt:i4>0</vt:i4>
      </vt:variant>
      <vt:variant>
        <vt:i4>5</vt:i4>
      </vt:variant>
      <vt:variant>
        <vt:lpwstr/>
      </vt:variant>
      <vt:variant>
        <vt:lpwstr>_Toc374444834</vt:lpwstr>
      </vt:variant>
      <vt:variant>
        <vt:i4>1245243</vt:i4>
      </vt:variant>
      <vt:variant>
        <vt:i4>1268</vt:i4>
      </vt:variant>
      <vt:variant>
        <vt:i4>0</vt:i4>
      </vt:variant>
      <vt:variant>
        <vt:i4>5</vt:i4>
      </vt:variant>
      <vt:variant>
        <vt:lpwstr/>
      </vt:variant>
      <vt:variant>
        <vt:lpwstr>_Toc374444833</vt:lpwstr>
      </vt:variant>
      <vt:variant>
        <vt:i4>1245243</vt:i4>
      </vt:variant>
      <vt:variant>
        <vt:i4>1262</vt:i4>
      </vt:variant>
      <vt:variant>
        <vt:i4>0</vt:i4>
      </vt:variant>
      <vt:variant>
        <vt:i4>5</vt:i4>
      </vt:variant>
      <vt:variant>
        <vt:lpwstr/>
      </vt:variant>
      <vt:variant>
        <vt:lpwstr>_Toc374444832</vt:lpwstr>
      </vt:variant>
      <vt:variant>
        <vt:i4>1245243</vt:i4>
      </vt:variant>
      <vt:variant>
        <vt:i4>1256</vt:i4>
      </vt:variant>
      <vt:variant>
        <vt:i4>0</vt:i4>
      </vt:variant>
      <vt:variant>
        <vt:i4>5</vt:i4>
      </vt:variant>
      <vt:variant>
        <vt:lpwstr/>
      </vt:variant>
      <vt:variant>
        <vt:lpwstr>_Toc374444831</vt:lpwstr>
      </vt:variant>
      <vt:variant>
        <vt:i4>1245243</vt:i4>
      </vt:variant>
      <vt:variant>
        <vt:i4>1250</vt:i4>
      </vt:variant>
      <vt:variant>
        <vt:i4>0</vt:i4>
      </vt:variant>
      <vt:variant>
        <vt:i4>5</vt:i4>
      </vt:variant>
      <vt:variant>
        <vt:lpwstr/>
      </vt:variant>
      <vt:variant>
        <vt:lpwstr>_Toc374444830</vt:lpwstr>
      </vt:variant>
      <vt:variant>
        <vt:i4>1179707</vt:i4>
      </vt:variant>
      <vt:variant>
        <vt:i4>1244</vt:i4>
      </vt:variant>
      <vt:variant>
        <vt:i4>0</vt:i4>
      </vt:variant>
      <vt:variant>
        <vt:i4>5</vt:i4>
      </vt:variant>
      <vt:variant>
        <vt:lpwstr/>
      </vt:variant>
      <vt:variant>
        <vt:lpwstr>_Toc374444829</vt:lpwstr>
      </vt:variant>
      <vt:variant>
        <vt:i4>1179707</vt:i4>
      </vt:variant>
      <vt:variant>
        <vt:i4>1238</vt:i4>
      </vt:variant>
      <vt:variant>
        <vt:i4>0</vt:i4>
      </vt:variant>
      <vt:variant>
        <vt:i4>5</vt:i4>
      </vt:variant>
      <vt:variant>
        <vt:lpwstr/>
      </vt:variant>
      <vt:variant>
        <vt:lpwstr>_Toc374444828</vt:lpwstr>
      </vt:variant>
      <vt:variant>
        <vt:i4>1179707</vt:i4>
      </vt:variant>
      <vt:variant>
        <vt:i4>1232</vt:i4>
      </vt:variant>
      <vt:variant>
        <vt:i4>0</vt:i4>
      </vt:variant>
      <vt:variant>
        <vt:i4>5</vt:i4>
      </vt:variant>
      <vt:variant>
        <vt:lpwstr/>
      </vt:variant>
      <vt:variant>
        <vt:lpwstr>_Toc374444827</vt:lpwstr>
      </vt:variant>
      <vt:variant>
        <vt:i4>1179707</vt:i4>
      </vt:variant>
      <vt:variant>
        <vt:i4>1226</vt:i4>
      </vt:variant>
      <vt:variant>
        <vt:i4>0</vt:i4>
      </vt:variant>
      <vt:variant>
        <vt:i4>5</vt:i4>
      </vt:variant>
      <vt:variant>
        <vt:lpwstr/>
      </vt:variant>
      <vt:variant>
        <vt:lpwstr>_Toc374444826</vt:lpwstr>
      </vt:variant>
      <vt:variant>
        <vt:i4>1179707</vt:i4>
      </vt:variant>
      <vt:variant>
        <vt:i4>1220</vt:i4>
      </vt:variant>
      <vt:variant>
        <vt:i4>0</vt:i4>
      </vt:variant>
      <vt:variant>
        <vt:i4>5</vt:i4>
      </vt:variant>
      <vt:variant>
        <vt:lpwstr/>
      </vt:variant>
      <vt:variant>
        <vt:lpwstr>_Toc374444825</vt:lpwstr>
      </vt:variant>
      <vt:variant>
        <vt:i4>1179707</vt:i4>
      </vt:variant>
      <vt:variant>
        <vt:i4>1214</vt:i4>
      </vt:variant>
      <vt:variant>
        <vt:i4>0</vt:i4>
      </vt:variant>
      <vt:variant>
        <vt:i4>5</vt:i4>
      </vt:variant>
      <vt:variant>
        <vt:lpwstr/>
      </vt:variant>
      <vt:variant>
        <vt:lpwstr>_Toc374444824</vt:lpwstr>
      </vt:variant>
      <vt:variant>
        <vt:i4>1179707</vt:i4>
      </vt:variant>
      <vt:variant>
        <vt:i4>1208</vt:i4>
      </vt:variant>
      <vt:variant>
        <vt:i4>0</vt:i4>
      </vt:variant>
      <vt:variant>
        <vt:i4>5</vt:i4>
      </vt:variant>
      <vt:variant>
        <vt:lpwstr/>
      </vt:variant>
      <vt:variant>
        <vt:lpwstr>_Toc374444823</vt:lpwstr>
      </vt:variant>
      <vt:variant>
        <vt:i4>1179707</vt:i4>
      </vt:variant>
      <vt:variant>
        <vt:i4>1202</vt:i4>
      </vt:variant>
      <vt:variant>
        <vt:i4>0</vt:i4>
      </vt:variant>
      <vt:variant>
        <vt:i4>5</vt:i4>
      </vt:variant>
      <vt:variant>
        <vt:lpwstr/>
      </vt:variant>
      <vt:variant>
        <vt:lpwstr>_Toc374444822</vt:lpwstr>
      </vt:variant>
      <vt:variant>
        <vt:i4>1179707</vt:i4>
      </vt:variant>
      <vt:variant>
        <vt:i4>1196</vt:i4>
      </vt:variant>
      <vt:variant>
        <vt:i4>0</vt:i4>
      </vt:variant>
      <vt:variant>
        <vt:i4>5</vt:i4>
      </vt:variant>
      <vt:variant>
        <vt:lpwstr/>
      </vt:variant>
      <vt:variant>
        <vt:lpwstr>_Toc374444821</vt:lpwstr>
      </vt:variant>
      <vt:variant>
        <vt:i4>1179707</vt:i4>
      </vt:variant>
      <vt:variant>
        <vt:i4>1190</vt:i4>
      </vt:variant>
      <vt:variant>
        <vt:i4>0</vt:i4>
      </vt:variant>
      <vt:variant>
        <vt:i4>5</vt:i4>
      </vt:variant>
      <vt:variant>
        <vt:lpwstr/>
      </vt:variant>
      <vt:variant>
        <vt:lpwstr>_Toc374444820</vt:lpwstr>
      </vt:variant>
      <vt:variant>
        <vt:i4>1114171</vt:i4>
      </vt:variant>
      <vt:variant>
        <vt:i4>1184</vt:i4>
      </vt:variant>
      <vt:variant>
        <vt:i4>0</vt:i4>
      </vt:variant>
      <vt:variant>
        <vt:i4>5</vt:i4>
      </vt:variant>
      <vt:variant>
        <vt:lpwstr/>
      </vt:variant>
      <vt:variant>
        <vt:lpwstr>_Toc374444819</vt:lpwstr>
      </vt:variant>
      <vt:variant>
        <vt:i4>1114171</vt:i4>
      </vt:variant>
      <vt:variant>
        <vt:i4>1178</vt:i4>
      </vt:variant>
      <vt:variant>
        <vt:i4>0</vt:i4>
      </vt:variant>
      <vt:variant>
        <vt:i4>5</vt:i4>
      </vt:variant>
      <vt:variant>
        <vt:lpwstr/>
      </vt:variant>
      <vt:variant>
        <vt:lpwstr>_Toc374444818</vt:lpwstr>
      </vt:variant>
      <vt:variant>
        <vt:i4>1114171</vt:i4>
      </vt:variant>
      <vt:variant>
        <vt:i4>1172</vt:i4>
      </vt:variant>
      <vt:variant>
        <vt:i4>0</vt:i4>
      </vt:variant>
      <vt:variant>
        <vt:i4>5</vt:i4>
      </vt:variant>
      <vt:variant>
        <vt:lpwstr/>
      </vt:variant>
      <vt:variant>
        <vt:lpwstr>_Toc374444817</vt:lpwstr>
      </vt:variant>
      <vt:variant>
        <vt:i4>1114171</vt:i4>
      </vt:variant>
      <vt:variant>
        <vt:i4>1166</vt:i4>
      </vt:variant>
      <vt:variant>
        <vt:i4>0</vt:i4>
      </vt:variant>
      <vt:variant>
        <vt:i4>5</vt:i4>
      </vt:variant>
      <vt:variant>
        <vt:lpwstr/>
      </vt:variant>
      <vt:variant>
        <vt:lpwstr>_Toc374444816</vt:lpwstr>
      </vt:variant>
      <vt:variant>
        <vt:i4>1114171</vt:i4>
      </vt:variant>
      <vt:variant>
        <vt:i4>1160</vt:i4>
      </vt:variant>
      <vt:variant>
        <vt:i4>0</vt:i4>
      </vt:variant>
      <vt:variant>
        <vt:i4>5</vt:i4>
      </vt:variant>
      <vt:variant>
        <vt:lpwstr/>
      </vt:variant>
      <vt:variant>
        <vt:lpwstr>_Toc374444815</vt:lpwstr>
      </vt:variant>
      <vt:variant>
        <vt:i4>1114171</vt:i4>
      </vt:variant>
      <vt:variant>
        <vt:i4>1154</vt:i4>
      </vt:variant>
      <vt:variant>
        <vt:i4>0</vt:i4>
      </vt:variant>
      <vt:variant>
        <vt:i4>5</vt:i4>
      </vt:variant>
      <vt:variant>
        <vt:lpwstr/>
      </vt:variant>
      <vt:variant>
        <vt:lpwstr>_Toc374444814</vt:lpwstr>
      </vt:variant>
      <vt:variant>
        <vt:i4>1114171</vt:i4>
      </vt:variant>
      <vt:variant>
        <vt:i4>1148</vt:i4>
      </vt:variant>
      <vt:variant>
        <vt:i4>0</vt:i4>
      </vt:variant>
      <vt:variant>
        <vt:i4>5</vt:i4>
      </vt:variant>
      <vt:variant>
        <vt:lpwstr/>
      </vt:variant>
      <vt:variant>
        <vt:lpwstr>_Toc374444813</vt:lpwstr>
      </vt:variant>
      <vt:variant>
        <vt:i4>1114171</vt:i4>
      </vt:variant>
      <vt:variant>
        <vt:i4>1142</vt:i4>
      </vt:variant>
      <vt:variant>
        <vt:i4>0</vt:i4>
      </vt:variant>
      <vt:variant>
        <vt:i4>5</vt:i4>
      </vt:variant>
      <vt:variant>
        <vt:lpwstr/>
      </vt:variant>
      <vt:variant>
        <vt:lpwstr>_Toc374444812</vt:lpwstr>
      </vt:variant>
      <vt:variant>
        <vt:i4>1114171</vt:i4>
      </vt:variant>
      <vt:variant>
        <vt:i4>1136</vt:i4>
      </vt:variant>
      <vt:variant>
        <vt:i4>0</vt:i4>
      </vt:variant>
      <vt:variant>
        <vt:i4>5</vt:i4>
      </vt:variant>
      <vt:variant>
        <vt:lpwstr/>
      </vt:variant>
      <vt:variant>
        <vt:lpwstr>_Toc374444811</vt:lpwstr>
      </vt:variant>
      <vt:variant>
        <vt:i4>1114171</vt:i4>
      </vt:variant>
      <vt:variant>
        <vt:i4>1130</vt:i4>
      </vt:variant>
      <vt:variant>
        <vt:i4>0</vt:i4>
      </vt:variant>
      <vt:variant>
        <vt:i4>5</vt:i4>
      </vt:variant>
      <vt:variant>
        <vt:lpwstr/>
      </vt:variant>
      <vt:variant>
        <vt:lpwstr>_Toc374444810</vt:lpwstr>
      </vt:variant>
      <vt:variant>
        <vt:i4>1048635</vt:i4>
      </vt:variant>
      <vt:variant>
        <vt:i4>1124</vt:i4>
      </vt:variant>
      <vt:variant>
        <vt:i4>0</vt:i4>
      </vt:variant>
      <vt:variant>
        <vt:i4>5</vt:i4>
      </vt:variant>
      <vt:variant>
        <vt:lpwstr/>
      </vt:variant>
      <vt:variant>
        <vt:lpwstr>_Toc374444809</vt:lpwstr>
      </vt:variant>
      <vt:variant>
        <vt:i4>1048635</vt:i4>
      </vt:variant>
      <vt:variant>
        <vt:i4>1118</vt:i4>
      </vt:variant>
      <vt:variant>
        <vt:i4>0</vt:i4>
      </vt:variant>
      <vt:variant>
        <vt:i4>5</vt:i4>
      </vt:variant>
      <vt:variant>
        <vt:lpwstr/>
      </vt:variant>
      <vt:variant>
        <vt:lpwstr>_Toc374444808</vt:lpwstr>
      </vt:variant>
      <vt:variant>
        <vt:i4>1048635</vt:i4>
      </vt:variant>
      <vt:variant>
        <vt:i4>1112</vt:i4>
      </vt:variant>
      <vt:variant>
        <vt:i4>0</vt:i4>
      </vt:variant>
      <vt:variant>
        <vt:i4>5</vt:i4>
      </vt:variant>
      <vt:variant>
        <vt:lpwstr/>
      </vt:variant>
      <vt:variant>
        <vt:lpwstr>_Toc374444807</vt:lpwstr>
      </vt:variant>
      <vt:variant>
        <vt:i4>1048635</vt:i4>
      </vt:variant>
      <vt:variant>
        <vt:i4>1106</vt:i4>
      </vt:variant>
      <vt:variant>
        <vt:i4>0</vt:i4>
      </vt:variant>
      <vt:variant>
        <vt:i4>5</vt:i4>
      </vt:variant>
      <vt:variant>
        <vt:lpwstr/>
      </vt:variant>
      <vt:variant>
        <vt:lpwstr>_Toc374444806</vt:lpwstr>
      </vt:variant>
      <vt:variant>
        <vt:i4>1048635</vt:i4>
      </vt:variant>
      <vt:variant>
        <vt:i4>1100</vt:i4>
      </vt:variant>
      <vt:variant>
        <vt:i4>0</vt:i4>
      </vt:variant>
      <vt:variant>
        <vt:i4>5</vt:i4>
      </vt:variant>
      <vt:variant>
        <vt:lpwstr/>
      </vt:variant>
      <vt:variant>
        <vt:lpwstr>_Toc374444805</vt:lpwstr>
      </vt:variant>
      <vt:variant>
        <vt:i4>1048635</vt:i4>
      </vt:variant>
      <vt:variant>
        <vt:i4>1094</vt:i4>
      </vt:variant>
      <vt:variant>
        <vt:i4>0</vt:i4>
      </vt:variant>
      <vt:variant>
        <vt:i4>5</vt:i4>
      </vt:variant>
      <vt:variant>
        <vt:lpwstr/>
      </vt:variant>
      <vt:variant>
        <vt:lpwstr>_Toc374444804</vt:lpwstr>
      </vt:variant>
      <vt:variant>
        <vt:i4>1048635</vt:i4>
      </vt:variant>
      <vt:variant>
        <vt:i4>1088</vt:i4>
      </vt:variant>
      <vt:variant>
        <vt:i4>0</vt:i4>
      </vt:variant>
      <vt:variant>
        <vt:i4>5</vt:i4>
      </vt:variant>
      <vt:variant>
        <vt:lpwstr/>
      </vt:variant>
      <vt:variant>
        <vt:lpwstr>_Toc374444803</vt:lpwstr>
      </vt:variant>
      <vt:variant>
        <vt:i4>1048635</vt:i4>
      </vt:variant>
      <vt:variant>
        <vt:i4>1082</vt:i4>
      </vt:variant>
      <vt:variant>
        <vt:i4>0</vt:i4>
      </vt:variant>
      <vt:variant>
        <vt:i4>5</vt:i4>
      </vt:variant>
      <vt:variant>
        <vt:lpwstr/>
      </vt:variant>
      <vt:variant>
        <vt:lpwstr>_Toc374444802</vt:lpwstr>
      </vt:variant>
      <vt:variant>
        <vt:i4>1048635</vt:i4>
      </vt:variant>
      <vt:variant>
        <vt:i4>1076</vt:i4>
      </vt:variant>
      <vt:variant>
        <vt:i4>0</vt:i4>
      </vt:variant>
      <vt:variant>
        <vt:i4>5</vt:i4>
      </vt:variant>
      <vt:variant>
        <vt:lpwstr/>
      </vt:variant>
      <vt:variant>
        <vt:lpwstr>_Toc374444801</vt:lpwstr>
      </vt:variant>
      <vt:variant>
        <vt:i4>1048635</vt:i4>
      </vt:variant>
      <vt:variant>
        <vt:i4>1070</vt:i4>
      </vt:variant>
      <vt:variant>
        <vt:i4>0</vt:i4>
      </vt:variant>
      <vt:variant>
        <vt:i4>5</vt:i4>
      </vt:variant>
      <vt:variant>
        <vt:lpwstr/>
      </vt:variant>
      <vt:variant>
        <vt:lpwstr>_Toc374444800</vt:lpwstr>
      </vt:variant>
      <vt:variant>
        <vt:i4>1638452</vt:i4>
      </vt:variant>
      <vt:variant>
        <vt:i4>1064</vt:i4>
      </vt:variant>
      <vt:variant>
        <vt:i4>0</vt:i4>
      </vt:variant>
      <vt:variant>
        <vt:i4>5</vt:i4>
      </vt:variant>
      <vt:variant>
        <vt:lpwstr/>
      </vt:variant>
      <vt:variant>
        <vt:lpwstr>_Toc374444799</vt:lpwstr>
      </vt:variant>
      <vt:variant>
        <vt:i4>1638452</vt:i4>
      </vt:variant>
      <vt:variant>
        <vt:i4>1058</vt:i4>
      </vt:variant>
      <vt:variant>
        <vt:i4>0</vt:i4>
      </vt:variant>
      <vt:variant>
        <vt:i4>5</vt:i4>
      </vt:variant>
      <vt:variant>
        <vt:lpwstr/>
      </vt:variant>
      <vt:variant>
        <vt:lpwstr>_Toc374444798</vt:lpwstr>
      </vt:variant>
      <vt:variant>
        <vt:i4>1638452</vt:i4>
      </vt:variant>
      <vt:variant>
        <vt:i4>1052</vt:i4>
      </vt:variant>
      <vt:variant>
        <vt:i4>0</vt:i4>
      </vt:variant>
      <vt:variant>
        <vt:i4>5</vt:i4>
      </vt:variant>
      <vt:variant>
        <vt:lpwstr/>
      </vt:variant>
      <vt:variant>
        <vt:lpwstr>_Toc374444797</vt:lpwstr>
      </vt:variant>
      <vt:variant>
        <vt:i4>1638452</vt:i4>
      </vt:variant>
      <vt:variant>
        <vt:i4>1046</vt:i4>
      </vt:variant>
      <vt:variant>
        <vt:i4>0</vt:i4>
      </vt:variant>
      <vt:variant>
        <vt:i4>5</vt:i4>
      </vt:variant>
      <vt:variant>
        <vt:lpwstr/>
      </vt:variant>
      <vt:variant>
        <vt:lpwstr>_Toc374444796</vt:lpwstr>
      </vt:variant>
      <vt:variant>
        <vt:i4>1638452</vt:i4>
      </vt:variant>
      <vt:variant>
        <vt:i4>1040</vt:i4>
      </vt:variant>
      <vt:variant>
        <vt:i4>0</vt:i4>
      </vt:variant>
      <vt:variant>
        <vt:i4>5</vt:i4>
      </vt:variant>
      <vt:variant>
        <vt:lpwstr/>
      </vt:variant>
      <vt:variant>
        <vt:lpwstr>_Toc374444795</vt:lpwstr>
      </vt:variant>
      <vt:variant>
        <vt:i4>1638452</vt:i4>
      </vt:variant>
      <vt:variant>
        <vt:i4>1034</vt:i4>
      </vt:variant>
      <vt:variant>
        <vt:i4>0</vt:i4>
      </vt:variant>
      <vt:variant>
        <vt:i4>5</vt:i4>
      </vt:variant>
      <vt:variant>
        <vt:lpwstr/>
      </vt:variant>
      <vt:variant>
        <vt:lpwstr>_Toc374444794</vt:lpwstr>
      </vt:variant>
      <vt:variant>
        <vt:i4>1638452</vt:i4>
      </vt:variant>
      <vt:variant>
        <vt:i4>1028</vt:i4>
      </vt:variant>
      <vt:variant>
        <vt:i4>0</vt:i4>
      </vt:variant>
      <vt:variant>
        <vt:i4>5</vt:i4>
      </vt:variant>
      <vt:variant>
        <vt:lpwstr/>
      </vt:variant>
      <vt:variant>
        <vt:lpwstr>_Toc374444793</vt:lpwstr>
      </vt:variant>
      <vt:variant>
        <vt:i4>1638452</vt:i4>
      </vt:variant>
      <vt:variant>
        <vt:i4>1022</vt:i4>
      </vt:variant>
      <vt:variant>
        <vt:i4>0</vt:i4>
      </vt:variant>
      <vt:variant>
        <vt:i4>5</vt:i4>
      </vt:variant>
      <vt:variant>
        <vt:lpwstr/>
      </vt:variant>
      <vt:variant>
        <vt:lpwstr>_Toc374444792</vt:lpwstr>
      </vt:variant>
      <vt:variant>
        <vt:i4>1638452</vt:i4>
      </vt:variant>
      <vt:variant>
        <vt:i4>1016</vt:i4>
      </vt:variant>
      <vt:variant>
        <vt:i4>0</vt:i4>
      </vt:variant>
      <vt:variant>
        <vt:i4>5</vt:i4>
      </vt:variant>
      <vt:variant>
        <vt:lpwstr/>
      </vt:variant>
      <vt:variant>
        <vt:lpwstr>_Toc374444791</vt:lpwstr>
      </vt:variant>
      <vt:variant>
        <vt:i4>1638452</vt:i4>
      </vt:variant>
      <vt:variant>
        <vt:i4>1010</vt:i4>
      </vt:variant>
      <vt:variant>
        <vt:i4>0</vt:i4>
      </vt:variant>
      <vt:variant>
        <vt:i4>5</vt:i4>
      </vt:variant>
      <vt:variant>
        <vt:lpwstr/>
      </vt:variant>
      <vt:variant>
        <vt:lpwstr>_Toc374444790</vt:lpwstr>
      </vt:variant>
      <vt:variant>
        <vt:i4>1572916</vt:i4>
      </vt:variant>
      <vt:variant>
        <vt:i4>1004</vt:i4>
      </vt:variant>
      <vt:variant>
        <vt:i4>0</vt:i4>
      </vt:variant>
      <vt:variant>
        <vt:i4>5</vt:i4>
      </vt:variant>
      <vt:variant>
        <vt:lpwstr/>
      </vt:variant>
      <vt:variant>
        <vt:lpwstr>_Toc374444789</vt:lpwstr>
      </vt:variant>
      <vt:variant>
        <vt:i4>1572916</vt:i4>
      </vt:variant>
      <vt:variant>
        <vt:i4>998</vt:i4>
      </vt:variant>
      <vt:variant>
        <vt:i4>0</vt:i4>
      </vt:variant>
      <vt:variant>
        <vt:i4>5</vt:i4>
      </vt:variant>
      <vt:variant>
        <vt:lpwstr/>
      </vt:variant>
      <vt:variant>
        <vt:lpwstr>_Toc374444788</vt:lpwstr>
      </vt:variant>
      <vt:variant>
        <vt:i4>1572916</vt:i4>
      </vt:variant>
      <vt:variant>
        <vt:i4>992</vt:i4>
      </vt:variant>
      <vt:variant>
        <vt:i4>0</vt:i4>
      </vt:variant>
      <vt:variant>
        <vt:i4>5</vt:i4>
      </vt:variant>
      <vt:variant>
        <vt:lpwstr/>
      </vt:variant>
      <vt:variant>
        <vt:lpwstr>_Toc374444787</vt:lpwstr>
      </vt:variant>
      <vt:variant>
        <vt:i4>1572916</vt:i4>
      </vt:variant>
      <vt:variant>
        <vt:i4>986</vt:i4>
      </vt:variant>
      <vt:variant>
        <vt:i4>0</vt:i4>
      </vt:variant>
      <vt:variant>
        <vt:i4>5</vt:i4>
      </vt:variant>
      <vt:variant>
        <vt:lpwstr/>
      </vt:variant>
      <vt:variant>
        <vt:lpwstr>_Toc374444786</vt:lpwstr>
      </vt:variant>
      <vt:variant>
        <vt:i4>1572916</vt:i4>
      </vt:variant>
      <vt:variant>
        <vt:i4>980</vt:i4>
      </vt:variant>
      <vt:variant>
        <vt:i4>0</vt:i4>
      </vt:variant>
      <vt:variant>
        <vt:i4>5</vt:i4>
      </vt:variant>
      <vt:variant>
        <vt:lpwstr/>
      </vt:variant>
      <vt:variant>
        <vt:lpwstr>_Toc374444785</vt:lpwstr>
      </vt:variant>
      <vt:variant>
        <vt:i4>1572916</vt:i4>
      </vt:variant>
      <vt:variant>
        <vt:i4>974</vt:i4>
      </vt:variant>
      <vt:variant>
        <vt:i4>0</vt:i4>
      </vt:variant>
      <vt:variant>
        <vt:i4>5</vt:i4>
      </vt:variant>
      <vt:variant>
        <vt:lpwstr/>
      </vt:variant>
      <vt:variant>
        <vt:lpwstr>_Toc374444784</vt:lpwstr>
      </vt:variant>
      <vt:variant>
        <vt:i4>1572916</vt:i4>
      </vt:variant>
      <vt:variant>
        <vt:i4>968</vt:i4>
      </vt:variant>
      <vt:variant>
        <vt:i4>0</vt:i4>
      </vt:variant>
      <vt:variant>
        <vt:i4>5</vt:i4>
      </vt:variant>
      <vt:variant>
        <vt:lpwstr/>
      </vt:variant>
      <vt:variant>
        <vt:lpwstr>_Toc374444783</vt:lpwstr>
      </vt:variant>
      <vt:variant>
        <vt:i4>1572916</vt:i4>
      </vt:variant>
      <vt:variant>
        <vt:i4>962</vt:i4>
      </vt:variant>
      <vt:variant>
        <vt:i4>0</vt:i4>
      </vt:variant>
      <vt:variant>
        <vt:i4>5</vt:i4>
      </vt:variant>
      <vt:variant>
        <vt:lpwstr/>
      </vt:variant>
      <vt:variant>
        <vt:lpwstr>_Toc374444782</vt:lpwstr>
      </vt:variant>
      <vt:variant>
        <vt:i4>1572916</vt:i4>
      </vt:variant>
      <vt:variant>
        <vt:i4>956</vt:i4>
      </vt:variant>
      <vt:variant>
        <vt:i4>0</vt:i4>
      </vt:variant>
      <vt:variant>
        <vt:i4>5</vt:i4>
      </vt:variant>
      <vt:variant>
        <vt:lpwstr/>
      </vt:variant>
      <vt:variant>
        <vt:lpwstr>_Toc374444781</vt:lpwstr>
      </vt:variant>
      <vt:variant>
        <vt:i4>1572916</vt:i4>
      </vt:variant>
      <vt:variant>
        <vt:i4>950</vt:i4>
      </vt:variant>
      <vt:variant>
        <vt:i4>0</vt:i4>
      </vt:variant>
      <vt:variant>
        <vt:i4>5</vt:i4>
      </vt:variant>
      <vt:variant>
        <vt:lpwstr/>
      </vt:variant>
      <vt:variant>
        <vt:lpwstr>_Toc374444780</vt:lpwstr>
      </vt:variant>
      <vt:variant>
        <vt:i4>1507380</vt:i4>
      </vt:variant>
      <vt:variant>
        <vt:i4>944</vt:i4>
      </vt:variant>
      <vt:variant>
        <vt:i4>0</vt:i4>
      </vt:variant>
      <vt:variant>
        <vt:i4>5</vt:i4>
      </vt:variant>
      <vt:variant>
        <vt:lpwstr/>
      </vt:variant>
      <vt:variant>
        <vt:lpwstr>_Toc374444779</vt:lpwstr>
      </vt:variant>
      <vt:variant>
        <vt:i4>1507380</vt:i4>
      </vt:variant>
      <vt:variant>
        <vt:i4>938</vt:i4>
      </vt:variant>
      <vt:variant>
        <vt:i4>0</vt:i4>
      </vt:variant>
      <vt:variant>
        <vt:i4>5</vt:i4>
      </vt:variant>
      <vt:variant>
        <vt:lpwstr/>
      </vt:variant>
      <vt:variant>
        <vt:lpwstr>_Toc374444778</vt:lpwstr>
      </vt:variant>
      <vt:variant>
        <vt:i4>1507380</vt:i4>
      </vt:variant>
      <vt:variant>
        <vt:i4>932</vt:i4>
      </vt:variant>
      <vt:variant>
        <vt:i4>0</vt:i4>
      </vt:variant>
      <vt:variant>
        <vt:i4>5</vt:i4>
      </vt:variant>
      <vt:variant>
        <vt:lpwstr/>
      </vt:variant>
      <vt:variant>
        <vt:lpwstr>_Toc374444777</vt:lpwstr>
      </vt:variant>
      <vt:variant>
        <vt:i4>1507380</vt:i4>
      </vt:variant>
      <vt:variant>
        <vt:i4>926</vt:i4>
      </vt:variant>
      <vt:variant>
        <vt:i4>0</vt:i4>
      </vt:variant>
      <vt:variant>
        <vt:i4>5</vt:i4>
      </vt:variant>
      <vt:variant>
        <vt:lpwstr/>
      </vt:variant>
      <vt:variant>
        <vt:lpwstr>_Toc374444776</vt:lpwstr>
      </vt:variant>
      <vt:variant>
        <vt:i4>1507380</vt:i4>
      </vt:variant>
      <vt:variant>
        <vt:i4>920</vt:i4>
      </vt:variant>
      <vt:variant>
        <vt:i4>0</vt:i4>
      </vt:variant>
      <vt:variant>
        <vt:i4>5</vt:i4>
      </vt:variant>
      <vt:variant>
        <vt:lpwstr/>
      </vt:variant>
      <vt:variant>
        <vt:lpwstr>_Toc374444775</vt:lpwstr>
      </vt:variant>
      <vt:variant>
        <vt:i4>1507380</vt:i4>
      </vt:variant>
      <vt:variant>
        <vt:i4>914</vt:i4>
      </vt:variant>
      <vt:variant>
        <vt:i4>0</vt:i4>
      </vt:variant>
      <vt:variant>
        <vt:i4>5</vt:i4>
      </vt:variant>
      <vt:variant>
        <vt:lpwstr/>
      </vt:variant>
      <vt:variant>
        <vt:lpwstr>_Toc374444774</vt:lpwstr>
      </vt:variant>
      <vt:variant>
        <vt:i4>1507380</vt:i4>
      </vt:variant>
      <vt:variant>
        <vt:i4>908</vt:i4>
      </vt:variant>
      <vt:variant>
        <vt:i4>0</vt:i4>
      </vt:variant>
      <vt:variant>
        <vt:i4>5</vt:i4>
      </vt:variant>
      <vt:variant>
        <vt:lpwstr/>
      </vt:variant>
      <vt:variant>
        <vt:lpwstr>_Toc374444773</vt:lpwstr>
      </vt:variant>
      <vt:variant>
        <vt:i4>1507380</vt:i4>
      </vt:variant>
      <vt:variant>
        <vt:i4>902</vt:i4>
      </vt:variant>
      <vt:variant>
        <vt:i4>0</vt:i4>
      </vt:variant>
      <vt:variant>
        <vt:i4>5</vt:i4>
      </vt:variant>
      <vt:variant>
        <vt:lpwstr/>
      </vt:variant>
      <vt:variant>
        <vt:lpwstr>_Toc374444772</vt:lpwstr>
      </vt:variant>
      <vt:variant>
        <vt:i4>1507380</vt:i4>
      </vt:variant>
      <vt:variant>
        <vt:i4>896</vt:i4>
      </vt:variant>
      <vt:variant>
        <vt:i4>0</vt:i4>
      </vt:variant>
      <vt:variant>
        <vt:i4>5</vt:i4>
      </vt:variant>
      <vt:variant>
        <vt:lpwstr/>
      </vt:variant>
      <vt:variant>
        <vt:lpwstr>_Toc374444771</vt:lpwstr>
      </vt:variant>
      <vt:variant>
        <vt:i4>1507380</vt:i4>
      </vt:variant>
      <vt:variant>
        <vt:i4>890</vt:i4>
      </vt:variant>
      <vt:variant>
        <vt:i4>0</vt:i4>
      </vt:variant>
      <vt:variant>
        <vt:i4>5</vt:i4>
      </vt:variant>
      <vt:variant>
        <vt:lpwstr/>
      </vt:variant>
      <vt:variant>
        <vt:lpwstr>_Toc374444770</vt:lpwstr>
      </vt:variant>
      <vt:variant>
        <vt:i4>1441844</vt:i4>
      </vt:variant>
      <vt:variant>
        <vt:i4>884</vt:i4>
      </vt:variant>
      <vt:variant>
        <vt:i4>0</vt:i4>
      </vt:variant>
      <vt:variant>
        <vt:i4>5</vt:i4>
      </vt:variant>
      <vt:variant>
        <vt:lpwstr/>
      </vt:variant>
      <vt:variant>
        <vt:lpwstr>_Toc374444769</vt:lpwstr>
      </vt:variant>
      <vt:variant>
        <vt:i4>1441844</vt:i4>
      </vt:variant>
      <vt:variant>
        <vt:i4>878</vt:i4>
      </vt:variant>
      <vt:variant>
        <vt:i4>0</vt:i4>
      </vt:variant>
      <vt:variant>
        <vt:i4>5</vt:i4>
      </vt:variant>
      <vt:variant>
        <vt:lpwstr/>
      </vt:variant>
      <vt:variant>
        <vt:lpwstr>_Toc374444768</vt:lpwstr>
      </vt:variant>
      <vt:variant>
        <vt:i4>1441844</vt:i4>
      </vt:variant>
      <vt:variant>
        <vt:i4>872</vt:i4>
      </vt:variant>
      <vt:variant>
        <vt:i4>0</vt:i4>
      </vt:variant>
      <vt:variant>
        <vt:i4>5</vt:i4>
      </vt:variant>
      <vt:variant>
        <vt:lpwstr/>
      </vt:variant>
      <vt:variant>
        <vt:lpwstr>_Toc374444767</vt:lpwstr>
      </vt:variant>
      <vt:variant>
        <vt:i4>1441844</vt:i4>
      </vt:variant>
      <vt:variant>
        <vt:i4>866</vt:i4>
      </vt:variant>
      <vt:variant>
        <vt:i4>0</vt:i4>
      </vt:variant>
      <vt:variant>
        <vt:i4>5</vt:i4>
      </vt:variant>
      <vt:variant>
        <vt:lpwstr/>
      </vt:variant>
      <vt:variant>
        <vt:lpwstr>_Toc374444766</vt:lpwstr>
      </vt:variant>
      <vt:variant>
        <vt:i4>1441844</vt:i4>
      </vt:variant>
      <vt:variant>
        <vt:i4>860</vt:i4>
      </vt:variant>
      <vt:variant>
        <vt:i4>0</vt:i4>
      </vt:variant>
      <vt:variant>
        <vt:i4>5</vt:i4>
      </vt:variant>
      <vt:variant>
        <vt:lpwstr/>
      </vt:variant>
      <vt:variant>
        <vt:lpwstr>_Toc374444765</vt:lpwstr>
      </vt:variant>
      <vt:variant>
        <vt:i4>1441844</vt:i4>
      </vt:variant>
      <vt:variant>
        <vt:i4>854</vt:i4>
      </vt:variant>
      <vt:variant>
        <vt:i4>0</vt:i4>
      </vt:variant>
      <vt:variant>
        <vt:i4>5</vt:i4>
      </vt:variant>
      <vt:variant>
        <vt:lpwstr/>
      </vt:variant>
      <vt:variant>
        <vt:lpwstr>_Toc374444764</vt:lpwstr>
      </vt:variant>
      <vt:variant>
        <vt:i4>1441844</vt:i4>
      </vt:variant>
      <vt:variant>
        <vt:i4>848</vt:i4>
      </vt:variant>
      <vt:variant>
        <vt:i4>0</vt:i4>
      </vt:variant>
      <vt:variant>
        <vt:i4>5</vt:i4>
      </vt:variant>
      <vt:variant>
        <vt:lpwstr/>
      </vt:variant>
      <vt:variant>
        <vt:lpwstr>_Toc374444763</vt:lpwstr>
      </vt:variant>
      <vt:variant>
        <vt:i4>1441844</vt:i4>
      </vt:variant>
      <vt:variant>
        <vt:i4>842</vt:i4>
      </vt:variant>
      <vt:variant>
        <vt:i4>0</vt:i4>
      </vt:variant>
      <vt:variant>
        <vt:i4>5</vt:i4>
      </vt:variant>
      <vt:variant>
        <vt:lpwstr/>
      </vt:variant>
      <vt:variant>
        <vt:lpwstr>_Toc374444762</vt:lpwstr>
      </vt:variant>
      <vt:variant>
        <vt:i4>1441844</vt:i4>
      </vt:variant>
      <vt:variant>
        <vt:i4>836</vt:i4>
      </vt:variant>
      <vt:variant>
        <vt:i4>0</vt:i4>
      </vt:variant>
      <vt:variant>
        <vt:i4>5</vt:i4>
      </vt:variant>
      <vt:variant>
        <vt:lpwstr/>
      </vt:variant>
      <vt:variant>
        <vt:lpwstr>_Toc374444761</vt:lpwstr>
      </vt:variant>
      <vt:variant>
        <vt:i4>1441844</vt:i4>
      </vt:variant>
      <vt:variant>
        <vt:i4>830</vt:i4>
      </vt:variant>
      <vt:variant>
        <vt:i4>0</vt:i4>
      </vt:variant>
      <vt:variant>
        <vt:i4>5</vt:i4>
      </vt:variant>
      <vt:variant>
        <vt:lpwstr/>
      </vt:variant>
      <vt:variant>
        <vt:lpwstr>_Toc374444760</vt:lpwstr>
      </vt:variant>
      <vt:variant>
        <vt:i4>1376308</vt:i4>
      </vt:variant>
      <vt:variant>
        <vt:i4>824</vt:i4>
      </vt:variant>
      <vt:variant>
        <vt:i4>0</vt:i4>
      </vt:variant>
      <vt:variant>
        <vt:i4>5</vt:i4>
      </vt:variant>
      <vt:variant>
        <vt:lpwstr/>
      </vt:variant>
      <vt:variant>
        <vt:lpwstr>_Toc374444759</vt:lpwstr>
      </vt:variant>
      <vt:variant>
        <vt:i4>1376308</vt:i4>
      </vt:variant>
      <vt:variant>
        <vt:i4>818</vt:i4>
      </vt:variant>
      <vt:variant>
        <vt:i4>0</vt:i4>
      </vt:variant>
      <vt:variant>
        <vt:i4>5</vt:i4>
      </vt:variant>
      <vt:variant>
        <vt:lpwstr/>
      </vt:variant>
      <vt:variant>
        <vt:lpwstr>_Toc374444758</vt:lpwstr>
      </vt:variant>
      <vt:variant>
        <vt:i4>1376308</vt:i4>
      </vt:variant>
      <vt:variant>
        <vt:i4>812</vt:i4>
      </vt:variant>
      <vt:variant>
        <vt:i4>0</vt:i4>
      </vt:variant>
      <vt:variant>
        <vt:i4>5</vt:i4>
      </vt:variant>
      <vt:variant>
        <vt:lpwstr/>
      </vt:variant>
      <vt:variant>
        <vt:lpwstr>_Toc374444757</vt:lpwstr>
      </vt:variant>
      <vt:variant>
        <vt:i4>1376308</vt:i4>
      </vt:variant>
      <vt:variant>
        <vt:i4>806</vt:i4>
      </vt:variant>
      <vt:variant>
        <vt:i4>0</vt:i4>
      </vt:variant>
      <vt:variant>
        <vt:i4>5</vt:i4>
      </vt:variant>
      <vt:variant>
        <vt:lpwstr/>
      </vt:variant>
      <vt:variant>
        <vt:lpwstr>_Toc374444756</vt:lpwstr>
      </vt:variant>
      <vt:variant>
        <vt:i4>1376308</vt:i4>
      </vt:variant>
      <vt:variant>
        <vt:i4>800</vt:i4>
      </vt:variant>
      <vt:variant>
        <vt:i4>0</vt:i4>
      </vt:variant>
      <vt:variant>
        <vt:i4>5</vt:i4>
      </vt:variant>
      <vt:variant>
        <vt:lpwstr/>
      </vt:variant>
      <vt:variant>
        <vt:lpwstr>_Toc374444755</vt:lpwstr>
      </vt:variant>
      <vt:variant>
        <vt:i4>1376308</vt:i4>
      </vt:variant>
      <vt:variant>
        <vt:i4>794</vt:i4>
      </vt:variant>
      <vt:variant>
        <vt:i4>0</vt:i4>
      </vt:variant>
      <vt:variant>
        <vt:i4>5</vt:i4>
      </vt:variant>
      <vt:variant>
        <vt:lpwstr/>
      </vt:variant>
      <vt:variant>
        <vt:lpwstr>_Toc374444754</vt:lpwstr>
      </vt:variant>
      <vt:variant>
        <vt:i4>1376308</vt:i4>
      </vt:variant>
      <vt:variant>
        <vt:i4>788</vt:i4>
      </vt:variant>
      <vt:variant>
        <vt:i4>0</vt:i4>
      </vt:variant>
      <vt:variant>
        <vt:i4>5</vt:i4>
      </vt:variant>
      <vt:variant>
        <vt:lpwstr/>
      </vt:variant>
      <vt:variant>
        <vt:lpwstr>_Toc374444753</vt:lpwstr>
      </vt:variant>
      <vt:variant>
        <vt:i4>1376308</vt:i4>
      </vt:variant>
      <vt:variant>
        <vt:i4>782</vt:i4>
      </vt:variant>
      <vt:variant>
        <vt:i4>0</vt:i4>
      </vt:variant>
      <vt:variant>
        <vt:i4>5</vt:i4>
      </vt:variant>
      <vt:variant>
        <vt:lpwstr/>
      </vt:variant>
      <vt:variant>
        <vt:lpwstr>_Toc374444752</vt:lpwstr>
      </vt:variant>
      <vt:variant>
        <vt:i4>1376308</vt:i4>
      </vt:variant>
      <vt:variant>
        <vt:i4>776</vt:i4>
      </vt:variant>
      <vt:variant>
        <vt:i4>0</vt:i4>
      </vt:variant>
      <vt:variant>
        <vt:i4>5</vt:i4>
      </vt:variant>
      <vt:variant>
        <vt:lpwstr/>
      </vt:variant>
      <vt:variant>
        <vt:lpwstr>_Toc374444751</vt:lpwstr>
      </vt:variant>
      <vt:variant>
        <vt:i4>1376308</vt:i4>
      </vt:variant>
      <vt:variant>
        <vt:i4>770</vt:i4>
      </vt:variant>
      <vt:variant>
        <vt:i4>0</vt:i4>
      </vt:variant>
      <vt:variant>
        <vt:i4>5</vt:i4>
      </vt:variant>
      <vt:variant>
        <vt:lpwstr/>
      </vt:variant>
      <vt:variant>
        <vt:lpwstr>_Toc374444750</vt:lpwstr>
      </vt:variant>
      <vt:variant>
        <vt:i4>1310772</vt:i4>
      </vt:variant>
      <vt:variant>
        <vt:i4>764</vt:i4>
      </vt:variant>
      <vt:variant>
        <vt:i4>0</vt:i4>
      </vt:variant>
      <vt:variant>
        <vt:i4>5</vt:i4>
      </vt:variant>
      <vt:variant>
        <vt:lpwstr/>
      </vt:variant>
      <vt:variant>
        <vt:lpwstr>_Toc374444749</vt:lpwstr>
      </vt:variant>
      <vt:variant>
        <vt:i4>1310772</vt:i4>
      </vt:variant>
      <vt:variant>
        <vt:i4>758</vt:i4>
      </vt:variant>
      <vt:variant>
        <vt:i4>0</vt:i4>
      </vt:variant>
      <vt:variant>
        <vt:i4>5</vt:i4>
      </vt:variant>
      <vt:variant>
        <vt:lpwstr/>
      </vt:variant>
      <vt:variant>
        <vt:lpwstr>_Toc374444748</vt:lpwstr>
      </vt:variant>
      <vt:variant>
        <vt:i4>1310772</vt:i4>
      </vt:variant>
      <vt:variant>
        <vt:i4>752</vt:i4>
      </vt:variant>
      <vt:variant>
        <vt:i4>0</vt:i4>
      </vt:variant>
      <vt:variant>
        <vt:i4>5</vt:i4>
      </vt:variant>
      <vt:variant>
        <vt:lpwstr/>
      </vt:variant>
      <vt:variant>
        <vt:lpwstr>_Toc374444747</vt:lpwstr>
      </vt:variant>
      <vt:variant>
        <vt:i4>1310772</vt:i4>
      </vt:variant>
      <vt:variant>
        <vt:i4>746</vt:i4>
      </vt:variant>
      <vt:variant>
        <vt:i4>0</vt:i4>
      </vt:variant>
      <vt:variant>
        <vt:i4>5</vt:i4>
      </vt:variant>
      <vt:variant>
        <vt:lpwstr/>
      </vt:variant>
      <vt:variant>
        <vt:lpwstr>_Toc374444746</vt:lpwstr>
      </vt:variant>
      <vt:variant>
        <vt:i4>1310772</vt:i4>
      </vt:variant>
      <vt:variant>
        <vt:i4>740</vt:i4>
      </vt:variant>
      <vt:variant>
        <vt:i4>0</vt:i4>
      </vt:variant>
      <vt:variant>
        <vt:i4>5</vt:i4>
      </vt:variant>
      <vt:variant>
        <vt:lpwstr/>
      </vt:variant>
      <vt:variant>
        <vt:lpwstr>_Toc374444745</vt:lpwstr>
      </vt:variant>
      <vt:variant>
        <vt:i4>1310772</vt:i4>
      </vt:variant>
      <vt:variant>
        <vt:i4>734</vt:i4>
      </vt:variant>
      <vt:variant>
        <vt:i4>0</vt:i4>
      </vt:variant>
      <vt:variant>
        <vt:i4>5</vt:i4>
      </vt:variant>
      <vt:variant>
        <vt:lpwstr/>
      </vt:variant>
      <vt:variant>
        <vt:lpwstr>_Toc374444744</vt:lpwstr>
      </vt:variant>
      <vt:variant>
        <vt:i4>1310772</vt:i4>
      </vt:variant>
      <vt:variant>
        <vt:i4>728</vt:i4>
      </vt:variant>
      <vt:variant>
        <vt:i4>0</vt:i4>
      </vt:variant>
      <vt:variant>
        <vt:i4>5</vt:i4>
      </vt:variant>
      <vt:variant>
        <vt:lpwstr/>
      </vt:variant>
      <vt:variant>
        <vt:lpwstr>_Toc374444743</vt:lpwstr>
      </vt:variant>
      <vt:variant>
        <vt:i4>1310772</vt:i4>
      </vt:variant>
      <vt:variant>
        <vt:i4>722</vt:i4>
      </vt:variant>
      <vt:variant>
        <vt:i4>0</vt:i4>
      </vt:variant>
      <vt:variant>
        <vt:i4>5</vt:i4>
      </vt:variant>
      <vt:variant>
        <vt:lpwstr/>
      </vt:variant>
      <vt:variant>
        <vt:lpwstr>_Toc374444742</vt:lpwstr>
      </vt:variant>
      <vt:variant>
        <vt:i4>1310772</vt:i4>
      </vt:variant>
      <vt:variant>
        <vt:i4>716</vt:i4>
      </vt:variant>
      <vt:variant>
        <vt:i4>0</vt:i4>
      </vt:variant>
      <vt:variant>
        <vt:i4>5</vt:i4>
      </vt:variant>
      <vt:variant>
        <vt:lpwstr/>
      </vt:variant>
      <vt:variant>
        <vt:lpwstr>_Toc374444741</vt:lpwstr>
      </vt:variant>
      <vt:variant>
        <vt:i4>1310772</vt:i4>
      </vt:variant>
      <vt:variant>
        <vt:i4>710</vt:i4>
      </vt:variant>
      <vt:variant>
        <vt:i4>0</vt:i4>
      </vt:variant>
      <vt:variant>
        <vt:i4>5</vt:i4>
      </vt:variant>
      <vt:variant>
        <vt:lpwstr/>
      </vt:variant>
      <vt:variant>
        <vt:lpwstr>_Toc374444740</vt:lpwstr>
      </vt:variant>
      <vt:variant>
        <vt:i4>1245236</vt:i4>
      </vt:variant>
      <vt:variant>
        <vt:i4>704</vt:i4>
      </vt:variant>
      <vt:variant>
        <vt:i4>0</vt:i4>
      </vt:variant>
      <vt:variant>
        <vt:i4>5</vt:i4>
      </vt:variant>
      <vt:variant>
        <vt:lpwstr/>
      </vt:variant>
      <vt:variant>
        <vt:lpwstr>_Toc374444739</vt:lpwstr>
      </vt:variant>
      <vt:variant>
        <vt:i4>1245236</vt:i4>
      </vt:variant>
      <vt:variant>
        <vt:i4>698</vt:i4>
      </vt:variant>
      <vt:variant>
        <vt:i4>0</vt:i4>
      </vt:variant>
      <vt:variant>
        <vt:i4>5</vt:i4>
      </vt:variant>
      <vt:variant>
        <vt:lpwstr/>
      </vt:variant>
      <vt:variant>
        <vt:lpwstr>_Toc374444738</vt:lpwstr>
      </vt:variant>
      <vt:variant>
        <vt:i4>1245236</vt:i4>
      </vt:variant>
      <vt:variant>
        <vt:i4>692</vt:i4>
      </vt:variant>
      <vt:variant>
        <vt:i4>0</vt:i4>
      </vt:variant>
      <vt:variant>
        <vt:i4>5</vt:i4>
      </vt:variant>
      <vt:variant>
        <vt:lpwstr/>
      </vt:variant>
      <vt:variant>
        <vt:lpwstr>_Toc374444737</vt:lpwstr>
      </vt:variant>
      <vt:variant>
        <vt:i4>1245236</vt:i4>
      </vt:variant>
      <vt:variant>
        <vt:i4>686</vt:i4>
      </vt:variant>
      <vt:variant>
        <vt:i4>0</vt:i4>
      </vt:variant>
      <vt:variant>
        <vt:i4>5</vt:i4>
      </vt:variant>
      <vt:variant>
        <vt:lpwstr/>
      </vt:variant>
      <vt:variant>
        <vt:lpwstr>_Toc374444736</vt:lpwstr>
      </vt:variant>
      <vt:variant>
        <vt:i4>1245236</vt:i4>
      </vt:variant>
      <vt:variant>
        <vt:i4>680</vt:i4>
      </vt:variant>
      <vt:variant>
        <vt:i4>0</vt:i4>
      </vt:variant>
      <vt:variant>
        <vt:i4>5</vt:i4>
      </vt:variant>
      <vt:variant>
        <vt:lpwstr/>
      </vt:variant>
      <vt:variant>
        <vt:lpwstr>_Toc374444735</vt:lpwstr>
      </vt:variant>
      <vt:variant>
        <vt:i4>1245236</vt:i4>
      </vt:variant>
      <vt:variant>
        <vt:i4>674</vt:i4>
      </vt:variant>
      <vt:variant>
        <vt:i4>0</vt:i4>
      </vt:variant>
      <vt:variant>
        <vt:i4>5</vt:i4>
      </vt:variant>
      <vt:variant>
        <vt:lpwstr/>
      </vt:variant>
      <vt:variant>
        <vt:lpwstr>_Toc374444734</vt:lpwstr>
      </vt:variant>
      <vt:variant>
        <vt:i4>1245236</vt:i4>
      </vt:variant>
      <vt:variant>
        <vt:i4>668</vt:i4>
      </vt:variant>
      <vt:variant>
        <vt:i4>0</vt:i4>
      </vt:variant>
      <vt:variant>
        <vt:i4>5</vt:i4>
      </vt:variant>
      <vt:variant>
        <vt:lpwstr/>
      </vt:variant>
      <vt:variant>
        <vt:lpwstr>_Toc374444733</vt:lpwstr>
      </vt:variant>
      <vt:variant>
        <vt:i4>1245236</vt:i4>
      </vt:variant>
      <vt:variant>
        <vt:i4>662</vt:i4>
      </vt:variant>
      <vt:variant>
        <vt:i4>0</vt:i4>
      </vt:variant>
      <vt:variant>
        <vt:i4>5</vt:i4>
      </vt:variant>
      <vt:variant>
        <vt:lpwstr/>
      </vt:variant>
      <vt:variant>
        <vt:lpwstr>_Toc374444732</vt:lpwstr>
      </vt:variant>
      <vt:variant>
        <vt:i4>1245236</vt:i4>
      </vt:variant>
      <vt:variant>
        <vt:i4>656</vt:i4>
      </vt:variant>
      <vt:variant>
        <vt:i4>0</vt:i4>
      </vt:variant>
      <vt:variant>
        <vt:i4>5</vt:i4>
      </vt:variant>
      <vt:variant>
        <vt:lpwstr/>
      </vt:variant>
      <vt:variant>
        <vt:lpwstr>_Toc374444731</vt:lpwstr>
      </vt:variant>
      <vt:variant>
        <vt:i4>1245236</vt:i4>
      </vt:variant>
      <vt:variant>
        <vt:i4>650</vt:i4>
      </vt:variant>
      <vt:variant>
        <vt:i4>0</vt:i4>
      </vt:variant>
      <vt:variant>
        <vt:i4>5</vt:i4>
      </vt:variant>
      <vt:variant>
        <vt:lpwstr/>
      </vt:variant>
      <vt:variant>
        <vt:lpwstr>_Toc374444730</vt:lpwstr>
      </vt:variant>
      <vt:variant>
        <vt:i4>1179700</vt:i4>
      </vt:variant>
      <vt:variant>
        <vt:i4>644</vt:i4>
      </vt:variant>
      <vt:variant>
        <vt:i4>0</vt:i4>
      </vt:variant>
      <vt:variant>
        <vt:i4>5</vt:i4>
      </vt:variant>
      <vt:variant>
        <vt:lpwstr/>
      </vt:variant>
      <vt:variant>
        <vt:lpwstr>_Toc374444729</vt:lpwstr>
      </vt:variant>
      <vt:variant>
        <vt:i4>1179700</vt:i4>
      </vt:variant>
      <vt:variant>
        <vt:i4>638</vt:i4>
      </vt:variant>
      <vt:variant>
        <vt:i4>0</vt:i4>
      </vt:variant>
      <vt:variant>
        <vt:i4>5</vt:i4>
      </vt:variant>
      <vt:variant>
        <vt:lpwstr/>
      </vt:variant>
      <vt:variant>
        <vt:lpwstr>_Toc374444728</vt:lpwstr>
      </vt:variant>
      <vt:variant>
        <vt:i4>1179700</vt:i4>
      </vt:variant>
      <vt:variant>
        <vt:i4>632</vt:i4>
      </vt:variant>
      <vt:variant>
        <vt:i4>0</vt:i4>
      </vt:variant>
      <vt:variant>
        <vt:i4>5</vt:i4>
      </vt:variant>
      <vt:variant>
        <vt:lpwstr/>
      </vt:variant>
      <vt:variant>
        <vt:lpwstr>_Toc374444727</vt:lpwstr>
      </vt:variant>
      <vt:variant>
        <vt:i4>1179700</vt:i4>
      </vt:variant>
      <vt:variant>
        <vt:i4>626</vt:i4>
      </vt:variant>
      <vt:variant>
        <vt:i4>0</vt:i4>
      </vt:variant>
      <vt:variant>
        <vt:i4>5</vt:i4>
      </vt:variant>
      <vt:variant>
        <vt:lpwstr/>
      </vt:variant>
      <vt:variant>
        <vt:lpwstr>_Toc374444726</vt:lpwstr>
      </vt:variant>
      <vt:variant>
        <vt:i4>1179700</vt:i4>
      </vt:variant>
      <vt:variant>
        <vt:i4>620</vt:i4>
      </vt:variant>
      <vt:variant>
        <vt:i4>0</vt:i4>
      </vt:variant>
      <vt:variant>
        <vt:i4>5</vt:i4>
      </vt:variant>
      <vt:variant>
        <vt:lpwstr/>
      </vt:variant>
      <vt:variant>
        <vt:lpwstr>_Toc374444725</vt:lpwstr>
      </vt:variant>
      <vt:variant>
        <vt:i4>1179700</vt:i4>
      </vt:variant>
      <vt:variant>
        <vt:i4>614</vt:i4>
      </vt:variant>
      <vt:variant>
        <vt:i4>0</vt:i4>
      </vt:variant>
      <vt:variant>
        <vt:i4>5</vt:i4>
      </vt:variant>
      <vt:variant>
        <vt:lpwstr/>
      </vt:variant>
      <vt:variant>
        <vt:lpwstr>_Toc374444724</vt:lpwstr>
      </vt:variant>
      <vt:variant>
        <vt:i4>1179700</vt:i4>
      </vt:variant>
      <vt:variant>
        <vt:i4>608</vt:i4>
      </vt:variant>
      <vt:variant>
        <vt:i4>0</vt:i4>
      </vt:variant>
      <vt:variant>
        <vt:i4>5</vt:i4>
      </vt:variant>
      <vt:variant>
        <vt:lpwstr/>
      </vt:variant>
      <vt:variant>
        <vt:lpwstr>_Toc374444723</vt:lpwstr>
      </vt:variant>
      <vt:variant>
        <vt:i4>1179700</vt:i4>
      </vt:variant>
      <vt:variant>
        <vt:i4>602</vt:i4>
      </vt:variant>
      <vt:variant>
        <vt:i4>0</vt:i4>
      </vt:variant>
      <vt:variant>
        <vt:i4>5</vt:i4>
      </vt:variant>
      <vt:variant>
        <vt:lpwstr/>
      </vt:variant>
      <vt:variant>
        <vt:lpwstr>_Toc374444722</vt:lpwstr>
      </vt:variant>
      <vt:variant>
        <vt:i4>1179700</vt:i4>
      </vt:variant>
      <vt:variant>
        <vt:i4>596</vt:i4>
      </vt:variant>
      <vt:variant>
        <vt:i4>0</vt:i4>
      </vt:variant>
      <vt:variant>
        <vt:i4>5</vt:i4>
      </vt:variant>
      <vt:variant>
        <vt:lpwstr/>
      </vt:variant>
      <vt:variant>
        <vt:lpwstr>_Toc374444721</vt:lpwstr>
      </vt:variant>
      <vt:variant>
        <vt:i4>1179700</vt:i4>
      </vt:variant>
      <vt:variant>
        <vt:i4>590</vt:i4>
      </vt:variant>
      <vt:variant>
        <vt:i4>0</vt:i4>
      </vt:variant>
      <vt:variant>
        <vt:i4>5</vt:i4>
      </vt:variant>
      <vt:variant>
        <vt:lpwstr/>
      </vt:variant>
      <vt:variant>
        <vt:lpwstr>_Toc374444720</vt:lpwstr>
      </vt:variant>
      <vt:variant>
        <vt:i4>1114164</vt:i4>
      </vt:variant>
      <vt:variant>
        <vt:i4>584</vt:i4>
      </vt:variant>
      <vt:variant>
        <vt:i4>0</vt:i4>
      </vt:variant>
      <vt:variant>
        <vt:i4>5</vt:i4>
      </vt:variant>
      <vt:variant>
        <vt:lpwstr/>
      </vt:variant>
      <vt:variant>
        <vt:lpwstr>_Toc374444719</vt:lpwstr>
      </vt:variant>
      <vt:variant>
        <vt:i4>1114164</vt:i4>
      </vt:variant>
      <vt:variant>
        <vt:i4>578</vt:i4>
      </vt:variant>
      <vt:variant>
        <vt:i4>0</vt:i4>
      </vt:variant>
      <vt:variant>
        <vt:i4>5</vt:i4>
      </vt:variant>
      <vt:variant>
        <vt:lpwstr/>
      </vt:variant>
      <vt:variant>
        <vt:lpwstr>_Toc374444718</vt:lpwstr>
      </vt:variant>
      <vt:variant>
        <vt:i4>1114164</vt:i4>
      </vt:variant>
      <vt:variant>
        <vt:i4>572</vt:i4>
      </vt:variant>
      <vt:variant>
        <vt:i4>0</vt:i4>
      </vt:variant>
      <vt:variant>
        <vt:i4>5</vt:i4>
      </vt:variant>
      <vt:variant>
        <vt:lpwstr/>
      </vt:variant>
      <vt:variant>
        <vt:lpwstr>_Toc374444717</vt:lpwstr>
      </vt:variant>
      <vt:variant>
        <vt:i4>1114164</vt:i4>
      </vt:variant>
      <vt:variant>
        <vt:i4>566</vt:i4>
      </vt:variant>
      <vt:variant>
        <vt:i4>0</vt:i4>
      </vt:variant>
      <vt:variant>
        <vt:i4>5</vt:i4>
      </vt:variant>
      <vt:variant>
        <vt:lpwstr/>
      </vt:variant>
      <vt:variant>
        <vt:lpwstr>_Toc374444716</vt:lpwstr>
      </vt:variant>
      <vt:variant>
        <vt:i4>1114164</vt:i4>
      </vt:variant>
      <vt:variant>
        <vt:i4>560</vt:i4>
      </vt:variant>
      <vt:variant>
        <vt:i4>0</vt:i4>
      </vt:variant>
      <vt:variant>
        <vt:i4>5</vt:i4>
      </vt:variant>
      <vt:variant>
        <vt:lpwstr/>
      </vt:variant>
      <vt:variant>
        <vt:lpwstr>_Toc374444715</vt:lpwstr>
      </vt:variant>
      <vt:variant>
        <vt:i4>1114164</vt:i4>
      </vt:variant>
      <vt:variant>
        <vt:i4>554</vt:i4>
      </vt:variant>
      <vt:variant>
        <vt:i4>0</vt:i4>
      </vt:variant>
      <vt:variant>
        <vt:i4>5</vt:i4>
      </vt:variant>
      <vt:variant>
        <vt:lpwstr/>
      </vt:variant>
      <vt:variant>
        <vt:lpwstr>_Toc374444714</vt:lpwstr>
      </vt:variant>
      <vt:variant>
        <vt:i4>1114164</vt:i4>
      </vt:variant>
      <vt:variant>
        <vt:i4>548</vt:i4>
      </vt:variant>
      <vt:variant>
        <vt:i4>0</vt:i4>
      </vt:variant>
      <vt:variant>
        <vt:i4>5</vt:i4>
      </vt:variant>
      <vt:variant>
        <vt:lpwstr/>
      </vt:variant>
      <vt:variant>
        <vt:lpwstr>_Toc374444713</vt:lpwstr>
      </vt:variant>
      <vt:variant>
        <vt:i4>1114164</vt:i4>
      </vt:variant>
      <vt:variant>
        <vt:i4>542</vt:i4>
      </vt:variant>
      <vt:variant>
        <vt:i4>0</vt:i4>
      </vt:variant>
      <vt:variant>
        <vt:i4>5</vt:i4>
      </vt:variant>
      <vt:variant>
        <vt:lpwstr/>
      </vt:variant>
      <vt:variant>
        <vt:lpwstr>_Toc374444712</vt:lpwstr>
      </vt:variant>
      <vt:variant>
        <vt:i4>1114164</vt:i4>
      </vt:variant>
      <vt:variant>
        <vt:i4>536</vt:i4>
      </vt:variant>
      <vt:variant>
        <vt:i4>0</vt:i4>
      </vt:variant>
      <vt:variant>
        <vt:i4>5</vt:i4>
      </vt:variant>
      <vt:variant>
        <vt:lpwstr/>
      </vt:variant>
      <vt:variant>
        <vt:lpwstr>_Toc374444711</vt:lpwstr>
      </vt:variant>
      <vt:variant>
        <vt:i4>1114164</vt:i4>
      </vt:variant>
      <vt:variant>
        <vt:i4>530</vt:i4>
      </vt:variant>
      <vt:variant>
        <vt:i4>0</vt:i4>
      </vt:variant>
      <vt:variant>
        <vt:i4>5</vt:i4>
      </vt:variant>
      <vt:variant>
        <vt:lpwstr/>
      </vt:variant>
      <vt:variant>
        <vt:lpwstr>_Toc374444710</vt:lpwstr>
      </vt:variant>
      <vt:variant>
        <vt:i4>1048628</vt:i4>
      </vt:variant>
      <vt:variant>
        <vt:i4>524</vt:i4>
      </vt:variant>
      <vt:variant>
        <vt:i4>0</vt:i4>
      </vt:variant>
      <vt:variant>
        <vt:i4>5</vt:i4>
      </vt:variant>
      <vt:variant>
        <vt:lpwstr/>
      </vt:variant>
      <vt:variant>
        <vt:lpwstr>_Toc374444709</vt:lpwstr>
      </vt:variant>
      <vt:variant>
        <vt:i4>1048628</vt:i4>
      </vt:variant>
      <vt:variant>
        <vt:i4>518</vt:i4>
      </vt:variant>
      <vt:variant>
        <vt:i4>0</vt:i4>
      </vt:variant>
      <vt:variant>
        <vt:i4>5</vt:i4>
      </vt:variant>
      <vt:variant>
        <vt:lpwstr/>
      </vt:variant>
      <vt:variant>
        <vt:lpwstr>_Toc374444708</vt:lpwstr>
      </vt:variant>
      <vt:variant>
        <vt:i4>1048628</vt:i4>
      </vt:variant>
      <vt:variant>
        <vt:i4>512</vt:i4>
      </vt:variant>
      <vt:variant>
        <vt:i4>0</vt:i4>
      </vt:variant>
      <vt:variant>
        <vt:i4>5</vt:i4>
      </vt:variant>
      <vt:variant>
        <vt:lpwstr/>
      </vt:variant>
      <vt:variant>
        <vt:lpwstr>_Toc374444707</vt:lpwstr>
      </vt:variant>
      <vt:variant>
        <vt:i4>1048628</vt:i4>
      </vt:variant>
      <vt:variant>
        <vt:i4>506</vt:i4>
      </vt:variant>
      <vt:variant>
        <vt:i4>0</vt:i4>
      </vt:variant>
      <vt:variant>
        <vt:i4>5</vt:i4>
      </vt:variant>
      <vt:variant>
        <vt:lpwstr/>
      </vt:variant>
      <vt:variant>
        <vt:lpwstr>_Toc374444706</vt:lpwstr>
      </vt:variant>
      <vt:variant>
        <vt:i4>1048628</vt:i4>
      </vt:variant>
      <vt:variant>
        <vt:i4>500</vt:i4>
      </vt:variant>
      <vt:variant>
        <vt:i4>0</vt:i4>
      </vt:variant>
      <vt:variant>
        <vt:i4>5</vt:i4>
      </vt:variant>
      <vt:variant>
        <vt:lpwstr/>
      </vt:variant>
      <vt:variant>
        <vt:lpwstr>_Toc374444705</vt:lpwstr>
      </vt:variant>
      <vt:variant>
        <vt:i4>1048628</vt:i4>
      </vt:variant>
      <vt:variant>
        <vt:i4>494</vt:i4>
      </vt:variant>
      <vt:variant>
        <vt:i4>0</vt:i4>
      </vt:variant>
      <vt:variant>
        <vt:i4>5</vt:i4>
      </vt:variant>
      <vt:variant>
        <vt:lpwstr/>
      </vt:variant>
      <vt:variant>
        <vt:lpwstr>_Toc374444704</vt:lpwstr>
      </vt:variant>
      <vt:variant>
        <vt:i4>1048628</vt:i4>
      </vt:variant>
      <vt:variant>
        <vt:i4>488</vt:i4>
      </vt:variant>
      <vt:variant>
        <vt:i4>0</vt:i4>
      </vt:variant>
      <vt:variant>
        <vt:i4>5</vt:i4>
      </vt:variant>
      <vt:variant>
        <vt:lpwstr/>
      </vt:variant>
      <vt:variant>
        <vt:lpwstr>_Toc374444703</vt:lpwstr>
      </vt:variant>
      <vt:variant>
        <vt:i4>1048628</vt:i4>
      </vt:variant>
      <vt:variant>
        <vt:i4>482</vt:i4>
      </vt:variant>
      <vt:variant>
        <vt:i4>0</vt:i4>
      </vt:variant>
      <vt:variant>
        <vt:i4>5</vt:i4>
      </vt:variant>
      <vt:variant>
        <vt:lpwstr/>
      </vt:variant>
      <vt:variant>
        <vt:lpwstr>_Toc374444702</vt:lpwstr>
      </vt:variant>
      <vt:variant>
        <vt:i4>1048628</vt:i4>
      </vt:variant>
      <vt:variant>
        <vt:i4>476</vt:i4>
      </vt:variant>
      <vt:variant>
        <vt:i4>0</vt:i4>
      </vt:variant>
      <vt:variant>
        <vt:i4>5</vt:i4>
      </vt:variant>
      <vt:variant>
        <vt:lpwstr/>
      </vt:variant>
      <vt:variant>
        <vt:lpwstr>_Toc374444701</vt:lpwstr>
      </vt:variant>
      <vt:variant>
        <vt:i4>1048628</vt:i4>
      </vt:variant>
      <vt:variant>
        <vt:i4>470</vt:i4>
      </vt:variant>
      <vt:variant>
        <vt:i4>0</vt:i4>
      </vt:variant>
      <vt:variant>
        <vt:i4>5</vt:i4>
      </vt:variant>
      <vt:variant>
        <vt:lpwstr/>
      </vt:variant>
      <vt:variant>
        <vt:lpwstr>_Toc374444700</vt:lpwstr>
      </vt:variant>
      <vt:variant>
        <vt:i4>1638453</vt:i4>
      </vt:variant>
      <vt:variant>
        <vt:i4>464</vt:i4>
      </vt:variant>
      <vt:variant>
        <vt:i4>0</vt:i4>
      </vt:variant>
      <vt:variant>
        <vt:i4>5</vt:i4>
      </vt:variant>
      <vt:variant>
        <vt:lpwstr/>
      </vt:variant>
      <vt:variant>
        <vt:lpwstr>_Toc374444699</vt:lpwstr>
      </vt:variant>
      <vt:variant>
        <vt:i4>1638453</vt:i4>
      </vt:variant>
      <vt:variant>
        <vt:i4>458</vt:i4>
      </vt:variant>
      <vt:variant>
        <vt:i4>0</vt:i4>
      </vt:variant>
      <vt:variant>
        <vt:i4>5</vt:i4>
      </vt:variant>
      <vt:variant>
        <vt:lpwstr/>
      </vt:variant>
      <vt:variant>
        <vt:lpwstr>_Toc374444698</vt:lpwstr>
      </vt:variant>
      <vt:variant>
        <vt:i4>1638453</vt:i4>
      </vt:variant>
      <vt:variant>
        <vt:i4>452</vt:i4>
      </vt:variant>
      <vt:variant>
        <vt:i4>0</vt:i4>
      </vt:variant>
      <vt:variant>
        <vt:i4>5</vt:i4>
      </vt:variant>
      <vt:variant>
        <vt:lpwstr/>
      </vt:variant>
      <vt:variant>
        <vt:lpwstr>_Toc374444697</vt:lpwstr>
      </vt:variant>
      <vt:variant>
        <vt:i4>1638453</vt:i4>
      </vt:variant>
      <vt:variant>
        <vt:i4>446</vt:i4>
      </vt:variant>
      <vt:variant>
        <vt:i4>0</vt:i4>
      </vt:variant>
      <vt:variant>
        <vt:i4>5</vt:i4>
      </vt:variant>
      <vt:variant>
        <vt:lpwstr/>
      </vt:variant>
      <vt:variant>
        <vt:lpwstr>_Toc374444696</vt:lpwstr>
      </vt:variant>
      <vt:variant>
        <vt:i4>1638453</vt:i4>
      </vt:variant>
      <vt:variant>
        <vt:i4>440</vt:i4>
      </vt:variant>
      <vt:variant>
        <vt:i4>0</vt:i4>
      </vt:variant>
      <vt:variant>
        <vt:i4>5</vt:i4>
      </vt:variant>
      <vt:variant>
        <vt:lpwstr/>
      </vt:variant>
      <vt:variant>
        <vt:lpwstr>_Toc374444695</vt:lpwstr>
      </vt:variant>
      <vt:variant>
        <vt:i4>1638453</vt:i4>
      </vt:variant>
      <vt:variant>
        <vt:i4>434</vt:i4>
      </vt:variant>
      <vt:variant>
        <vt:i4>0</vt:i4>
      </vt:variant>
      <vt:variant>
        <vt:i4>5</vt:i4>
      </vt:variant>
      <vt:variant>
        <vt:lpwstr/>
      </vt:variant>
      <vt:variant>
        <vt:lpwstr>_Toc374444694</vt:lpwstr>
      </vt:variant>
      <vt:variant>
        <vt:i4>1638453</vt:i4>
      </vt:variant>
      <vt:variant>
        <vt:i4>428</vt:i4>
      </vt:variant>
      <vt:variant>
        <vt:i4>0</vt:i4>
      </vt:variant>
      <vt:variant>
        <vt:i4>5</vt:i4>
      </vt:variant>
      <vt:variant>
        <vt:lpwstr/>
      </vt:variant>
      <vt:variant>
        <vt:lpwstr>_Toc374444693</vt:lpwstr>
      </vt:variant>
      <vt:variant>
        <vt:i4>1638453</vt:i4>
      </vt:variant>
      <vt:variant>
        <vt:i4>422</vt:i4>
      </vt:variant>
      <vt:variant>
        <vt:i4>0</vt:i4>
      </vt:variant>
      <vt:variant>
        <vt:i4>5</vt:i4>
      </vt:variant>
      <vt:variant>
        <vt:lpwstr/>
      </vt:variant>
      <vt:variant>
        <vt:lpwstr>_Toc374444692</vt:lpwstr>
      </vt:variant>
      <vt:variant>
        <vt:i4>1638453</vt:i4>
      </vt:variant>
      <vt:variant>
        <vt:i4>416</vt:i4>
      </vt:variant>
      <vt:variant>
        <vt:i4>0</vt:i4>
      </vt:variant>
      <vt:variant>
        <vt:i4>5</vt:i4>
      </vt:variant>
      <vt:variant>
        <vt:lpwstr/>
      </vt:variant>
      <vt:variant>
        <vt:lpwstr>_Toc374444691</vt:lpwstr>
      </vt:variant>
      <vt:variant>
        <vt:i4>1638453</vt:i4>
      </vt:variant>
      <vt:variant>
        <vt:i4>410</vt:i4>
      </vt:variant>
      <vt:variant>
        <vt:i4>0</vt:i4>
      </vt:variant>
      <vt:variant>
        <vt:i4>5</vt:i4>
      </vt:variant>
      <vt:variant>
        <vt:lpwstr/>
      </vt:variant>
      <vt:variant>
        <vt:lpwstr>_Toc374444690</vt:lpwstr>
      </vt:variant>
      <vt:variant>
        <vt:i4>1572917</vt:i4>
      </vt:variant>
      <vt:variant>
        <vt:i4>404</vt:i4>
      </vt:variant>
      <vt:variant>
        <vt:i4>0</vt:i4>
      </vt:variant>
      <vt:variant>
        <vt:i4>5</vt:i4>
      </vt:variant>
      <vt:variant>
        <vt:lpwstr/>
      </vt:variant>
      <vt:variant>
        <vt:lpwstr>_Toc374444689</vt:lpwstr>
      </vt:variant>
      <vt:variant>
        <vt:i4>1572917</vt:i4>
      </vt:variant>
      <vt:variant>
        <vt:i4>398</vt:i4>
      </vt:variant>
      <vt:variant>
        <vt:i4>0</vt:i4>
      </vt:variant>
      <vt:variant>
        <vt:i4>5</vt:i4>
      </vt:variant>
      <vt:variant>
        <vt:lpwstr/>
      </vt:variant>
      <vt:variant>
        <vt:lpwstr>_Toc374444688</vt:lpwstr>
      </vt:variant>
      <vt:variant>
        <vt:i4>1572917</vt:i4>
      </vt:variant>
      <vt:variant>
        <vt:i4>392</vt:i4>
      </vt:variant>
      <vt:variant>
        <vt:i4>0</vt:i4>
      </vt:variant>
      <vt:variant>
        <vt:i4>5</vt:i4>
      </vt:variant>
      <vt:variant>
        <vt:lpwstr/>
      </vt:variant>
      <vt:variant>
        <vt:lpwstr>_Toc374444687</vt:lpwstr>
      </vt:variant>
      <vt:variant>
        <vt:i4>1572917</vt:i4>
      </vt:variant>
      <vt:variant>
        <vt:i4>386</vt:i4>
      </vt:variant>
      <vt:variant>
        <vt:i4>0</vt:i4>
      </vt:variant>
      <vt:variant>
        <vt:i4>5</vt:i4>
      </vt:variant>
      <vt:variant>
        <vt:lpwstr/>
      </vt:variant>
      <vt:variant>
        <vt:lpwstr>_Toc374444686</vt:lpwstr>
      </vt:variant>
      <vt:variant>
        <vt:i4>1572917</vt:i4>
      </vt:variant>
      <vt:variant>
        <vt:i4>380</vt:i4>
      </vt:variant>
      <vt:variant>
        <vt:i4>0</vt:i4>
      </vt:variant>
      <vt:variant>
        <vt:i4>5</vt:i4>
      </vt:variant>
      <vt:variant>
        <vt:lpwstr/>
      </vt:variant>
      <vt:variant>
        <vt:lpwstr>_Toc374444685</vt:lpwstr>
      </vt:variant>
      <vt:variant>
        <vt:i4>1572917</vt:i4>
      </vt:variant>
      <vt:variant>
        <vt:i4>374</vt:i4>
      </vt:variant>
      <vt:variant>
        <vt:i4>0</vt:i4>
      </vt:variant>
      <vt:variant>
        <vt:i4>5</vt:i4>
      </vt:variant>
      <vt:variant>
        <vt:lpwstr/>
      </vt:variant>
      <vt:variant>
        <vt:lpwstr>_Toc374444684</vt:lpwstr>
      </vt:variant>
      <vt:variant>
        <vt:i4>1572917</vt:i4>
      </vt:variant>
      <vt:variant>
        <vt:i4>368</vt:i4>
      </vt:variant>
      <vt:variant>
        <vt:i4>0</vt:i4>
      </vt:variant>
      <vt:variant>
        <vt:i4>5</vt:i4>
      </vt:variant>
      <vt:variant>
        <vt:lpwstr/>
      </vt:variant>
      <vt:variant>
        <vt:lpwstr>_Toc374444683</vt:lpwstr>
      </vt:variant>
      <vt:variant>
        <vt:i4>1572917</vt:i4>
      </vt:variant>
      <vt:variant>
        <vt:i4>362</vt:i4>
      </vt:variant>
      <vt:variant>
        <vt:i4>0</vt:i4>
      </vt:variant>
      <vt:variant>
        <vt:i4>5</vt:i4>
      </vt:variant>
      <vt:variant>
        <vt:lpwstr/>
      </vt:variant>
      <vt:variant>
        <vt:lpwstr>_Toc374444682</vt:lpwstr>
      </vt:variant>
      <vt:variant>
        <vt:i4>1572917</vt:i4>
      </vt:variant>
      <vt:variant>
        <vt:i4>356</vt:i4>
      </vt:variant>
      <vt:variant>
        <vt:i4>0</vt:i4>
      </vt:variant>
      <vt:variant>
        <vt:i4>5</vt:i4>
      </vt:variant>
      <vt:variant>
        <vt:lpwstr/>
      </vt:variant>
      <vt:variant>
        <vt:lpwstr>_Toc374444681</vt:lpwstr>
      </vt:variant>
      <vt:variant>
        <vt:i4>1572917</vt:i4>
      </vt:variant>
      <vt:variant>
        <vt:i4>350</vt:i4>
      </vt:variant>
      <vt:variant>
        <vt:i4>0</vt:i4>
      </vt:variant>
      <vt:variant>
        <vt:i4>5</vt:i4>
      </vt:variant>
      <vt:variant>
        <vt:lpwstr/>
      </vt:variant>
      <vt:variant>
        <vt:lpwstr>_Toc374444680</vt:lpwstr>
      </vt:variant>
      <vt:variant>
        <vt:i4>1507381</vt:i4>
      </vt:variant>
      <vt:variant>
        <vt:i4>344</vt:i4>
      </vt:variant>
      <vt:variant>
        <vt:i4>0</vt:i4>
      </vt:variant>
      <vt:variant>
        <vt:i4>5</vt:i4>
      </vt:variant>
      <vt:variant>
        <vt:lpwstr/>
      </vt:variant>
      <vt:variant>
        <vt:lpwstr>_Toc374444679</vt:lpwstr>
      </vt:variant>
      <vt:variant>
        <vt:i4>1507381</vt:i4>
      </vt:variant>
      <vt:variant>
        <vt:i4>338</vt:i4>
      </vt:variant>
      <vt:variant>
        <vt:i4>0</vt:i4>
      </vt:variant>
      <vt:variant>
        <vt:i4>5</vt:i4>
      </vt:variant>
      <vt:variant>
        <vt:lpwstr/>
      </vt:variant>
      <vt:variant>
        <vt:lpwstr>_Toc374444678</vt:lpwstr>
      </vt:variant>
      <vt:variant>
        <vt:i4>1507381</vt:i4>
      </vt:variant>
      <vt:variant>
        <vt:i4>332</vt:i4>
      </vt:variant>
      <vt:variant>
        <vt:i4>0</vt:i4>
      </vt:variant>
      <vt:variant>
        <vt:i4>5</vt:i4>
      </vt:variant>
      <vt:variant>
        <vt:lpwstr/>
      </vt:variant>
      <vt:variant>
        <vt:lpwstr>_Toc374444677</vt:lpwstr>
      </vt:variant>
      <vt:variant>
        <vt:i4>1507381</vt:i4>
      </vt:variant>
      <vt:variant>
        <vt:i4>326</vt:i4>
      </vt:variant>
      <vt:variant>
        <vt:i4>0</vt:i4>
      </vt:variant>
      <vt:variant>
        <vt:i4>5</vt:i4>
      </vt:variant>
      <vt:variant>
        <vt:lpwstr/>
      </vt:variant>
      <vt:variant>
        <vt:lpwstr>_Toc374444676</vt:lpwstr>
      </vt:variant>
      <vt:variant>
        <vt:i4>1507381</vt:i4>
      </vt:variant>
      <vt:variant>
        <vt:i4>320</vt:i4>
      </vt:variant>
      <vt:variant>
        <vt:i4>0</vt:i4>
      </vt:variant>
      <vt:variant>
        <vt:i4>5</vt:i4>
      </vt:variant>
      <vt:variant>
        <vt:lpwstr/>
      </vt:variant>
      <vt:variant>
        <vt:lpwstr>_Toc374444675</vt:lpwstr>
      </vt:variant>
      <vt:variant>
        <vt:i4>1507381</vt:i4>
      </vt:variant>
      <vt:variant>
        <vt:i4>314</vt:i4>
      </vt:variant>
      <vt:variant>
        <vt:i4>0</vt:i4>
      </vt:variant>
      <vt:variant>
        <vt:i4>5</vt:i4>
      </vt:variant>
      <vt:variant>
        <vt:lpwstr/>
      </vt:variant>
      <vt:variant>
        <vt:lpwstr>_Toc374444674</vt:lpwstr>
      </vt:variant>
      <vt:variant>
        <vt:i4>1507381</vt:i4>
      </vt:variant>
      <vt:variant>
        <vt:i4>308</vt:i4>
      </vt:variant>
      <vt:variant>
        <vt:i4>0</vt:i4>
      </vt:variant>
      <vt:variant>
        <vt:i4>5</vt:i4>
      </vt:variant>
      <vt:variant>
        <vt:lpwstr/>
      </vt:variant>
      <vt:variant>
        <vt:lpwstr>_Toc374444673</vt:lpwstr>
      </vt:variant>
      <vt:variant>
        <vt:i4>1507381</vt:i4>
      </vt:variant>
      <vt:variant>
        <vt:i4>302</vt:i4>
      </vt:variant>
      <vt:variant>
        <vt:i4>0</vt:i4>
      </vt:variant>
      <vt:variant>
        <vt:i4>5</vt:i4>
      </vt:variant>
      <vt:variant>
        <vt:lpwstr/>
      </vt:variant>
      <vt:variant>
        <vt:lpwstr>_Toc374444672</vt:lpwstr>
      </vt:variant>
      <vt:variant>
        <vt:i4>1507381</vt:i4>
      </vt:variant>
      <vt:variant>
        <vt:i4>296</vt:i4>
      </vt:variant>
      <vt:variant>
        <vt:i4>0</vt:i4>
      </vt:variant>
      <vt:variant>
        <vt:i4>5</vt:i4>
      </vt:variant>
      <vt:variant>
        <vt:lpwstr/>
      </vt:variant>
      <vt:variant>
        <vt:lpwstr>_Toc374444671</vt:lpwstr>
      </vt:variant>
      <vt:variant>
        <vt:i4>1507381</vt:i4>
      </vt:variant>
      <vt:variant>
        <vt:i4>290</vt:i4>
      </vt:variant>
      <vt:variant>
        <vt:i4>0</vt:i4>
      </vt:variant>
      <vt:variant>
        <vt:i4>5</vt:i4>
      </vt:variant>
      <vt:variant>
        <vt:lpwstr/>
      </vt:variant>
      <vt:variant>
        <vt:lpwstr>_Toc374444670</vt:lpwstr>
      </vt:variant>
      <vt:variant>
        <vt:i4>1441845</vt:i4>
      </vt:variant>
      <vt:variant>
        <vt:i4>284</vt:i4>
      </vt:variant>
      <vt:variant>
        <vt:i4>0</vt:i4>
      </vt:variant>
      <vt:variant>
        <vt:i4>5</vt:i4>
      </vt:variant>
      <vt:variant>
        <vt:lpwstr/>
      </vt:variant>
      <vt:variant>
        <vt:lpwstr>_Toc374444669</vt:lpwstr>
      </vt:variant>
      <vt:variant>
        <vt:i4>1441845</vt:i4>
      </vt:variant>
      <vt:variant>
        <vt:i4>278</vt:i4>
      </vt:variant>
      <vt:variant>
        <vt:i4>0</vt:i4>
      </vt:variant>
      <vt:variant>
        <vt:i4>5</vt:i4>
      </vt:variant>
      <vt:variant>
        <vt:lpwstr/>
      </vt:variant>
      <vt:variant>
        <vt:lpwstr>_Toc374444668</vt:lpwstr>
      </vt:variant>
      <vt:variant>
        <vt:i4>1441845</vt:i4>
      </vt:variant>
      <vt:variant>
        <vt:i4>272</vt:i4>
      </vt:variant>
      <vt:variant>
        <vt:i4>0</vt:i4>
      </vt:variant>
      <vt:variant>
        <vt:i4>5</vt:i4>
      </vt:variant>
      <vt:variant>
        <vt:lpwstr/>
      </vt:variant>
      <vt:variant>
        <vt:lpwstr>_Toc374444667</vt:lpwstr>
      </vt:variant>
      <vt:variant>
        <vt:i4>1441845</vt:i4>
      </vt:variant>
      <vt:variant>
        <vt:i4>266</vt:i4>
      </vt:variant>
      <vt:variant>
        <vt:i4>0</vt:i4>
      </vt:variant>
      <vt:variant>
        <vt:i4>5</vt:i4>
      </vt:variant>
      <vt:variant>
        <vt:lpwstr/>
      </vt:variant>
      <vt:variant>
        <vt:lpwstr>_Toc374444666</vt:lpwstr>
      </vt:variant>
      <vt:variant>
        <vt:i4>1441845</vt:i4>
      </vt:variant>
      <vt:variant>
        <vt:i4>260</vt:i4>
      </vt:variant>
      <vt:variant>
        <vt:i4>0</vt:i4>
      </vt:variant>
      <vt:variant>
        <vt:i4>5</vt:i4>
      </vt:variant>
      <vt:variant>
        <vt:lpwstr/>
      </vt:variant>
      <vt:variant>
        <vt:lpwstr>_Toc374444665</vt:lpwstr>
      </vt:variant>
      <vt:variant>
        <vt:i4>1441845</vt:i4>
      </vt:variant>
      <vt:variant>
        <vt:i4>254</vt:i4>
      </vt:variant>
      <vt:variant>
        <vt:i4>0</vt:i4>
      </vt:variant>
      <vt:variant>
        <vt:i4>5</vt:i4>
      </vt:variant>
      <vt:variant>
        <vt:lpwstr/>
      </vt:variant>
      <vt:variant>
        <vt:lpwstr>_Toc374444664</vt:lpwstr>
      </vt:variant>
      <vt:variant>
        <vt:i4>1441845</vt:i4>
      </vt:variant>
      <vt:variant>
        <vt:i4>248</vt:i4>
      </vt:variant>
      <vt:variant>
        <vt:i4>0</vt:i4>
      </vt:variant>
      <vt:variant>
        <vt:i4>5</vt:i4>
      </vt:variant>
      <vt:variant>
        <vt:lpwstr/>
      </vt:variant>
      <vt:variant>
        <vt:lpwstr>_Toc374444663</vt:lpwstr>
      </vt:variant>
      <vt:variant>
        <vt:i4>1441845</vt:i4>
      </vt:variant>
      <vt:variant>
        <vt:i4>242</vt:i4>
      </vt:variant>
      <vt:variant>
        <vt:i4>0</vt:i4>
      </vt:variant>
      <vt:variant>
        <vt:i4>5</vt:i4>
      </vt:variant>
      <vt:variant>
        <vt:lpwstr/>
      </vt:variant>
      <vt:variant>
        <vt:lpwstr>_Toc374444662</vt:lpwstr>
      </vt:variant>
      <vt:variant>
        <vt:i4>1441845</vt:i4>
      </vt:variant>
      <vt:variant>
        <vt:i4>236</vt:i4>
      </vt:variant>
      <vt:variant>
        <vt:i4>0</vt:i4>
      </vt:variant>
      <vt:variant>
        <vt:i4>5</vt:i4>
      </vt:variant>
      <vt:variant>
        <vt:lpwstr/>
      </vt:variant>
      <vt:variant>
        <vt:lpwstr>_Toc374444661</vt:lpwstr>
      </vt:variant>
      <vt:variant>
        <vt:i4>1441845</vt:i4>
      </vt:variant>
      <vt:variant>
        <vt:i4>230</vt:i4>
      </vt:variant>
      <vt:variant>
        <vt:i4>0</vt:i4>
      </vt:variant>
      <vt:variant>
        <vt:i4>5</vt:i4>
      </vt:variant>
      <vt:variant>
        <vt:lpwstr/>
      </vt:variant>
      <vt:variant>
        <vt:lpwstr>_Toc374444660</vt:lpwstr>
      </vt:variant>
      <vt:variant>
        <vt:i4>1376309</vt:i4>
      </vt:variant>
      <vt:variant>
        <vt:i4>224</vt:i4>
      </vt:variant>
      <vt:variant>
        <vt:i4>0</vt:i4>
      </vt:variant>
      <vt:variant>
        <vt:i4>5</vt:i4>
      </vt:variant>
      <vt:variant>
        <vt:lpwstr/>
      </vt:variant>
      <vt:variant>
        <vt:lpwstr>_Toc374444659</vt:lpwstr>
      </vt:variant>
      <vt:variant>
        <vt:i4>1376309</vt:i4>
      </vt:variant>
      <vt:variant>
        <vt:i4>218</vt:i4>
      </vt:variant>
      <vt:variant>
        <vt:i4>0</vt:i4>
      </vt:variant>
      <vt:variant>
        <vt:i4>5</vt:i4>
      </vt:variant>
      <vt:variant>
        <vt:lpwstr/>
      </vt:variant>
      <vt:variant>
        <vt:lpwstr>_Toc374444658</vt:lpwstr>
      </vt:variant>
      <vt:variant>
        <vt:i4>1376309</vt:i4>
      </vt:variant>
      <vt:variant>
        <vt:i4>212</vt:i4>
      </vt:variant>
      <vt:variant>
        <vt:i4>0</vt:i4>
      </vt:variant>
      <vt:variant>
        <vt:i4>5</vt:i4>
      </vt:variant>
      <vt:variant>
        <vt:lpwstr/>
      </vt:variant>
      <vt:variant>
        <vt:lpwstr>_Toc374444657</vt:lpwstr>
      </vt:variant>
      <vt:variant>
        <vt:i4>1376309</vt:i4>
      </vt:variant>
      <vt:variant>
        <vt:i4>206</vt:i4>
      </vt:variant>
      <vt:variant>
        <vt:i4>0</vt:i4>
      </vt:variant>
      <vt:variant>
        <vt:i4>5</vt:i4>
      </vt:variant>
      <vt:variant>
        <vt:lpwstr/>
      </vt:variant>
      <vt:variant>
        <vt:lpwstr>_Toc374444656</vt:lpwstr>
      </vt:variant>
      <vt:variant>
        <vt:i4>1376309</vt:i4>
      </vt:variant>
      <vt:variant>
        <vt:i4>200</vt:i4>
      </vt:variant>
      <vt:variant>
        <vt:i4>0</vt:i4>
      </vt:variant>
      <vt:variant>
        <vt:i4>5</vt:i4>
      </vt:variant>
      <vt:variant>
        <vt:lpwstr/>
      </vt:variant>
      <vt:variant>
        <vt:lpwstr>_Toc374444655</vt:lpwstr>
      </vt:variant>
      <vt:variant>
        <vt:i4>1376309</vt:i4>
      </vt:variant>
      <vt:variant>
        <vt:i4>194</vt:i4>
      </vt:variant>
      <vt:variant>
        <vt:i4>0</vt:i4>
      </vt:variant>
      <vt:variant>
        <vt:i4>5</vt:i4>
      </vt:variant>
      <vt:variant>
        <vt:lpwstr/>
      </vt:variant>
      <vt:variant>
        <vt:lpwstr>_Toc374444654</vt:lpwstr>
      </vt:variant>
      <vt:variant>
        <vt:i4>1376309</vt:i4>
      </vt:variant>
      <vt:variant>
        <vt:i4>188</vt:i4>
      </vt:variant>
      <vt:variant>
        <vt:i4>0</vt:i4>
      </vt:variant>
      <vt:variant>
        <vt:i4>5</vt:i4>
      </vt:variant>
      <vt:variant>
        <vt:lpwstr/>
      </vt:variant>
      <vt:variant>
        <vt:lpwstr>_Toc374444653</vt:lpwstr>
      </vt:variant>
      <vt:variant>
        <vt:i4>1376309</vt:i4>
      </vt:variant>
      <vt:variant>
        <vt:i4>182</vt:i4>
      </vt:variant>
      <vt:variant>
        <vt:i4>0</vt:i4>
      </vt:variant>
      <vt:variant>
        <vt:i4>5</vt:i4>
      </vt:variant>
      <vt:variant>
        <vt:lpwstr/>
      </vt:variant>
      <vt:variant>
        <vt:lpwstr>_Toc374444652</vt:lpwstr>
      </vt:variant>
      <vt:variant>
        <vt:i4>1376309</vt:i4>
      </vt:variant>
      <vt:variant>
        <vt:i4>176</vt:i4>
      </vt:variant>
      <vt:variant>
        <vt:i4>0</vt:i4>
      </vt:variant>
      <vt:variant>
        <vt:i4>5</vt:i4>
      </vt:variant>
      <vt:variant>
        <vt:lpwstr/>
      </vt:variant>
      <vt:variant>
        <vt:lpwstr>_Toc374444651</vt:lpwstr>
      </vt:variant>
      <vt:variant>
        <vt:i4>1376309</vt:i4>
      </vt:variant>
      <vt:variant>
        <vt:i4>170</vt:i4>
      </vt:variant>
      <vt:variant>
        <vt:i4>0</vt:i4>
      </vt:variant>
      <vt:variant>
        <vt:i4>5</vt:i4>
      </vt:variant>
      <vt:variant>
        <vt:lpwstr/>
      </vt:variant>
      <vt:variant>
        <vt:lpwstr>_Toc374444650</vt:lpwstr>
      </vt:variant>
      <vt:variant>
        <vt:i4>1310773</vt:i4>
      </vt:variant>
      <vt:variant>
        <vt:i4>164</vt:i4>
      </vt:variant>
      <vt:variant>
        <vt:i4>0</vt:i4>
      </vt:variant>
      <vt:variant>
        <vt:i4>5</vt:i4>
      </vt:variant>
      <vt:variant>
        <vt:lpwstr/>
      </vt:variant>
      <vt:variant>
        <vt:lpwstr>_Toc374444649</vt:lpwstr>
      </vt:variant>
      <vt:variant>
        <vt:i4>1310773</vt:i4>
      </vt:variant>
      <vt:variant>
        <vt:i4>158</vt:i4>
      </vt:variant>
      <vt:variant>
        <vt:i4>0</vt:i4>
      </vt:variant>
      <vt:variant>
        <vt:i4>5</vt:i4>
      </vt:variant>
      <vt:variant>
        <vt:lpwstr/>
      </vt:variant>
      <vt:variant>
        <vt:lpwstr>_Toc374444648</vt:lpwstr>
      </vt:variant>
      <vt:variant>
        <vt:i4>1310773</vt:i4>
      </vt:variant>
      <vt:variant>
        <vt:i4>152</vt:i4>
      </vt:variant>
      <vt:variant>
        <vt:i4>0</vt:i4>
      </vt:variant>
      <vt:variant>
        <vt:i4>5</vt:i4>
      </vt:variant>
      <vt:variant>
        <vt:lpwstr/>
      </vt:variant>
      <vt:variant>
        <vt:lpwstr>_Toc374444647</vt:lpwstr>
      </vt:variant>
      <vt:variant>
        <vt:i4>1310773</vt:i4>
      </vt:variant>
      <vt:variant>
        <vt:i4>146</vt:i4>
      </vt:variant>
      <vt:variant>
        <vt:i4>0</vt:i4>
      </vt:variant>
      <vt:variant>
        <vt:i4>5</vt:i4>
      </vt:variant>
      <vt:variant>
        <vt:lpwstr/>
      </vt:variant>
      <vt:variant>
        <vt:lpwstr>_Toc374444646</vt:lpwstr>
      </vt:variant>
      <vt:variant>
        <vt:i4>1310773</vt:i4>
      </vt:variant>
      <vt:variant>
        <vt:i4>140</vt:i4>
      </vt:variant>
      <vt:variant>
        <vt:i4>0</vt:i4>
      </vt:variant>
      <vt:variant>
        <vt:i4>5</vt:i4>
      </vt:variant>
      <vt:variant>
        <vt:lpwstr/>
      </vt:variant>
      <vt:variant>
        <vt:lpwstr>_Toc374444645</vt:lpwstr>
      </vt:variant>
      <vt:variant>
        <vt:i4>1310773</vt:i4>
      </vt:variant>
      <vt:variant>
        <vt:i4>134</vt:i4>
      </vt:variant>
      <vt:variant>
        <vt:i4>0</vt:i4>
      </vt:variant>
      <vt:variant>
        <vt:i4>5</vt:i4>
      </vt:variant>
      <vt:variant>
        <vt:lpwstr/>
      </vt:variant>
      <vt:variant>
        <vt:lpwstr>_Toc374444644</vt:lpwstr>
      </vt:variant>
      <vt:variant>
        <vt:i4>1310773</vt:i4>
      </vt:variant>
      <vt:variant>
        <vt:i4>128</vt:i4>
      </vt:variant>
      <vt:variant>
        <vt:i4>0</vt:i4>
      </vt:variant>
      <vt:variant>
        <vt:i4>5</vt:i4>
      </vt:variant>
      <vt:variant>
        <vt:lpwstr/>
      </vt:variant>
      <vt:variant>
        <vt:lpwstr>_Toc374444643</vt:lpwstr>
      </vt:variant>
      <vt:variant>
        <vt:i4>1310773</vt:i4>
      </vt:variant>
      <vt:variant>
        <vt:i4>122</vt:i4>
      </vt:variant>
      <vt:variant>
        <vt:i4>0</vt:i4>
      </vt:variant>
      <vt:variant>
        <vt:i4>5</vt:i4>
      </vt:variant>
      <vt:variant>
        <vt:lpwstr/>
      </vt:variant>
      <vt:variant>
        <vt:lpwstr>_Toc374444642</vt:lpwstr>
      </vt:variant>
      <vt:variant>
        <vt:i4>1310773</vt:i4>
      </vt:variant>
      <vt:variant>
        <vt:i4>116</vt:i4>
      </vt:variant>
      <vt:variant>
        <vt:i4>0</vt:i4>
      </vt:variant>
      <vt:variant>
        <vt:i4>5</vt:i4>
      </vt:variant>
      <vt:variant>
        <vt:lpwstr/>
      </vt:variant>
      <vt:variant>
        <vt:lpwstr>_Toc374444641</vt:lpwstr>
      </vt:variant>
      <vt:variant>
        <vt:i4>1310773</vt:i4>
      </vt:variant>
      <vt:variant>
        <vt:i4>110</vt:i4>
      </vt:variant>
      <vt:variant>
        <vt:i4>0</vt:i4>
      </vt:variant>
      <vt:variant>
        <vt:i4>5</vt:i4>
      </vt:variant>
      <vt:variant>
        <vt:lpwstr/>
      </vt:variant>
      <vt:variant>
        <vt:lpwstr>_Toc374444640</vt:lpwstr>
      </vt:variant>
      <vt:variant>
        <vt:i4>1245237</vt:i4>
      </vt:variant>
      <vt:variant>
        <vt:i4>104</vt:i4>
      </vt:variant>
      <vt:variant>
        <vt:i4>0</vt:i4>
      </vt:variant>
      <vt:variant>
        <vt:i4>5</vt:i4>
      </vt:variant>
      <vt:variant>
        <vt:lpwstr/>
      </vt:variant>
      <vt:variant>
        <vt:lpwstr>_Toc374444639</vt:lpwstr>
      </vt:variant>
      <vt:variant>
        <vt:i4>1245237</vt:i4>
      </vt:variant>
      <vt:variant>
        <vt:i4>98</vt:i4>
      </vt:variant>
      <vt:variant>
        <vt:i4>0</vt:i4>
      </vt:variant>
      <vt:variant>
        <vt:i4>5</vt:i4>
      </vt:variant>
      <vt:variant>
        <vt:lpwstr/>
      </vt:variant>
      <vt:variant>
        <vt:lpwstr>_Toc374444638</vt:lpwstr>
      </vt:variant>
      <vt:variant>
        <vt:i4>1245237</vt:i4>
      </vt:variant>
      <vt:variant>
        <vt:i4>92</vt:i4>
      </vt:variant>
      <vt:variant>
        <vt:i4>0</vt:i4>
      </vt:variant>
      <vt:variant>
        <vt:i4>5</vt:i4>
      </vt:variant>
      <vt:variant>
        <vt:lpwstr/>
      </vt:variant>
      <vt:variant>
        <vt:lpwstr>_Toc374444637</vt:lpwstr>
      </vt:variant>
      <vt:variant>
        <vt:i4>1245237</vt:i4>
      </vt:variant>
      <vt:variant>
        <vt:i4>86</vt:i4>
      </vt:variant>
      <vt:variant>
        <vt:i4>0</vt:i4>
      </vt:variant>
      <vt:variant>
        <vt:i4>5</vt:i4>
      </vt:variant>
      <vt:variant>
        <vt:lpwstr/>
      </vt:variant>
      <vt:variant>
        <vt:lpwstr>_Toc374444636</vt:lpwstr>
      </vt:variant>
      <vt:variant>
        <vt:i4>1245237</vt:i4>
      </vt:variant>
      <vt:variant>
        <vt:i4>80</vt:i4>
      </vt:variant>
      <vt:variant>
        <vt:i4>0</vt:i4>
      </vt:variant>
      <vt:variant>
        <vt:i4>5</vt:i4>
      </vt:variant>
      <vt:variant>
        <vt:lpwstr/>
      </vt:variant>
      <vt:variant>
        <vt:lpwstr>_Toc374444635</vt:lpwstr>
      </vt:variant>
      <vt:variant>
        <vt:i4>1245237</vt:i4>
      </vt:variant>
      <vt:variant>
        <vt:i4>74</vt:i4>
      </vt:variant>
      <vt:variant>
        <vt:i4>0</vt:i4>
      </vt:variant>
      <vt:variant>
        <vt:i4>5</vt:i4>
      </vt:variant>
      <vt:variant>
        <vt:lpwstr/>
      </vt:variant>
      <vt:variant>
        <vt:lpwstr>_Toc374444634</vt:lpwstr>
      </vt:variant>
      <vt:variant>
        <vt:i4>1245237</vt:i4>
      </vt:variant>
      <vt:variant>
        <vt:i4>68</vt:i4>
      </vt:variant>
      <vt:variant>
        <vt:i4>0</vt:i4>
      </vt:variant>
      <vt:variant>
        <vt:i4>5</vt:i4>
      </vt:variant>
      <vt:variant>
        <vt:lpwstr/>
      </vt:variant>
      <vt:variant>
        <vt:lpwstr>_Toc374444633</vt:lpwstr>
      </vt:variant>
      <vt:variant>
        <vt:i4>1245237</vt:i4>
      </vt:variant>
      <vt:variant>
        <vt:i4>62</vt:i4>
      </vt:variant>
      <vt:variant>
        <vt:i4>0</vt:i4>
      </vt:variant>
      <vt:variant>
        <vt:i4>5</vt:i4>
      </vt:variant>
      <vt:variant>
        <vt:lpwstr/>
      </vt:variant>
      <vt:variant>
        <vt:lpwstr>_Toc374444632</vt:lpwstr>
      </vt:variant>
      <vt:variant>
        <vt:i4>1245237</vt:i4>
      </vt:variant>
      <vt:variant>
        <vt:i4>56</vt:i4>
      </vt:variant>
      <vt:variant>
        <vt:i4>0</vt:i4>
      </vt:variant>
      <vt:variant>
        <vt:i4>5</vt:i4>
      </vt:variant>
      <vt:variant>
        <vt:lpwstr/>
      </vt:variant>
      <vt:variant>
        <vt:lpwstr>_Toc374444631</vt:lpwstr>
      </vt:variant>
      <vt:variant>
        <vt:i4>1245237</vt:i4>
      </vt:variant>
      <vt:variant>
        <vt:i4>50</vt:i4>
      </vt:variant>
      <vt:variant>
        <vt:i4>0</vt:i4>
      </vt:variant>
      <vt:variant>
        <vt:i4>5</vt:i4>
      </vt:variant>
      <vt:variant>
        <vt:lpwstr/>
      </vt:variant>
      <vt:variant>
        <vt:lpwstr>_Toc374444630</vt:lpwstr>
      </vt:variant>
      <vt:variant>
        <vt:i4>1179701</vt:i4>
      </vt:variant>
      <vt:variant>
        <vt:i4>44</vt:i4>
      </vt:variant>
      <vt:variant>
        <vt:i4>0</vt:i4>
      </vt:variant>
      <vt:variant>
        <vt:i4>5</vt:i4>
      </vt:variant>
      <vt:variant>
        <vt:lpwstr/>
      </vt:variant>
      <vt:variant>
        <vt:lpwstr>_Toc374444629</vt:lpwstr>
      </vt:variant>
      <vt:variant>
        <vt:i4>1179701</vt:i4>
      </vt:variant>
      <vt:variant>
        <vt:i4>38</vt:i4>
      </vt:variant>
      <vt:variant>
        <vt:i4>0</vt:i4>
      </vt:variant>
      <vt:variant>
        <vt:i4>5</vt:i4>
      </vt:variant>
      <vt:variant>
        <vt:lpwstr/>
      </vt:variant>
      <vt:variant>
        <vt:lpwstr>_Toc374444628</vt:lpwstr>
      </vt:variant>
      <vt:variant>
        <vt:i4>1179701</vt:i4>
      </vt:variant>
      <vt:variant>
        <vt:i4>32</vt:i4>
      </vt:variant>
      <vt:variant>
        <vt:i4>0</vt:i4>
      </vt:variant>
      <vt:variant>
        <vt:i4>5</vt:i4>
      </vt:variant>
      <vt:variant>
        <vt:lpwstr/>
      </vt:variant>
      <vt:variant>
        <vt:lpwstr>_Toc374444627</vt:lpwstr>
      </vt:variant>
      <vt:variant>
        <vt:i4>1179701</vt:i4>
      </vt:variant>
      <vt:variant>
        <vt:i4>26</vt:i4>
      </vt:variant>
      <vt:variant>
        <vt:i4>0</vt:i4>
      </vt:variant>
      <vt:variant>
        <vt:i4>5</vt:i4>
      </vt:variant>
      <vt:variant>
        <vt:lpwstr/>
      </vt:variant>
      <vt:variant>
        <vt:lpwstr>_Toc374444626</vt:lpwstr>
      </vt:variant>
      <vt:variant>
        <vt:i4>1179701</vt:i4>
      </vt:variant>
      <vt:variant>
        <vt:i4>20</vt:i4>
      </vt:variant>
      <vt:variant>
        <vt:i4>0</vt:i4>
      </vt:variant>
      <vt:variant>
        <vt:i4>5</vt:i4>
      </vt:variant>
      <vt:variant>
        <vt:lpwstr/>
      </vt:variant>
      <vt:variant>
        <vt:lpwstr>_Toc374444625</vt:lpwstr>
      </vt:variant>
      <vt:variant>
        <vt:i4>1179701</vt:i4>
      </vt:variant>
      <vt:variant>
        <vt:i4>14</vt:i4>
      </vt:variant>
      <vt:variant>
        <vt:i4>0</vt:i4>
      </vt:variant>
      <vt:variant>
        <vt:i4>5</vt:i4>
      </vt:variant>
      <vt:variant>
        <vt:lpwstr/>
      </vt:variant>
      <vt:variant>
        <vt:lpwstr>_Toc374444624</vt:lpwstr>
      </vt:variant>
      <vt:variant>
        <vt:i4>1179701</vt:i4>
      </vt:variant>
      <vt:variant>
        <vt:i4>8</vt:i4>
      </vt:variant>
      <vt:variant>
        <vt:i4>0</vt:i4>
      </vt:variant>
      <vt:variant>
        <vt:i4>5</vt:i4>
      </vt:variant>
      <vt:variant>
        <vt:lpwstr/>
      </vt:variant>
      <vt:variant>
        <vt:lpwstr>_Toc374444623</vt:lpwstr>
      </vt:variant>
      <vt:variant>
        <vt:i4>1179701</vt:i4>
      </vt:variant>
      <vt:variant>
        <vt:i4>2</vt:i4>
      </vt:variant>
      <vt:variant>
        <vt:i4>0</vt:i4>
      </vt:variant>
      <vt:variant>
        <vt:i4>5</vt:i4>
      </vt:variant>
      <vt:variant>
        <vt:lpwstr/>
      </vt:variant>
      <vt:variant>
        <vt:lpwstr>_Toc374444622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Nº 5</dc:title>
  <dc:creator>Fernando De Lorenzo</dc:creator>
  <cp:lastModifiedBy>Rafa del Vado</cp:lastModifiedBy>
  <cp:revision>41</cp:revision>
  <cp:lastPrinted>2016-09-07T11:29:00Z</cp:lastPrinted>
  <dcterms:created xsi:type="dcterms:W3CDTF">2015-09-16T14:10:00Z</dcterms:created>
  <dcterms:modified xsi:type="dcterms:W3CDTF">2016-10-18T10:22:00Z</dcterms:modified>
</cp:coreProperties>
</file>